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72"/>
        </w:rPr>
        <w:t xml:space="preserve">苏州市相城区政府采购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72"/>
        </w:rPr>
        <w:t xml:space="preserve">竞争性磋商</w:t>
      </w:r>
      <w:r>
        <w:rPr>
          <w:rFonts w:ascii="SimSun" w:hAnsi="SimSun" w:eastAsia="SimSun" w:cs="SimSun"/>
          <w:b/>
          <w:color w:val="000000"/>
          <w:spacing w:val="20"/>
          <w:sz w:val="72"/>
        </w:rPr>
        <w:t xml:space="preserve">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609725" cy="1476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078105" name=""/>
                        <pic:cNvPicPr>
                          <a:picLocks noChangeAspect="1"/>
                        </pic:cNvPicPr>
                        <pic:nvPr/>
                      </pic:nvPicPr>
                      <pic:blipFill>
                        <a:blip r:embed="rId9"/>
                        <a:stretch/>
                      </pic:blipFill>
                      <pic:spPr bwMode="auto">
                        <a:xfrm>
                          <a:off x="0" y="0"/>
                          <a:ext cx="1609724" cy="14763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6.8pt;height:116.2pt;mso-wrap-distance-left:0.0pt;mso-wrap-distance-top:0.0pt;mso-wrap-distance-right:0.0pt;mso-wrap-distance-bottom:0.0pt;" stroked="false">
                <v:path textboxrect="0,0,0,0"/>
                <v:imagedata r:id="rId9" o:title=""/>
              </v:shape>
            </w:pict>
          </mc:Fallback>
        </mc:AlternateContent>
      </w: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64"/>
        <w:jc w:val="both"/>
        <w:spacing w:before="0" w:after="0" w:line="85"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0" w:after="0" w:line="85"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0" w:after="0" w:line="360" w:lineRule="auto"/>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采购编号：JSZC-320507-SZGZ-C2025-0152</w:t>
      </w:r>
      <w:r/>
    </w:p>
    <w:p>
      <w:pPr>
        <w:ind w:left="0" w:right="0" w:firstLine="964"/>
        <w:jc w:val="both"/>
        <w:spacing w:before="0" w:after="0" w:line="360" w:lineRule="auto"/>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采购内容：如元路公交场站建设</w:t>
      </w:r>
      <w:r/>
    </w:p>
    <w:p>
      <w:pPr>
        <w:ind w:left="0" w:right="0" w:firstLine="964"/>
        <w:jc w:val="both"/>
        <w:spacing w:before="0" w:after="0" w:line="360" w:lineRule="auto"/>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人：苏州相城经济技术开发区管理委员会 </w:t>
      </w:r>
      <w:r/>
    </w:p>
    <w:p>
      <w:pPr>
        <w:ind w:left="0" w:right="0" w:firstLine="964"/>
        <w:jc w:val="both"/>
        <w:spacing w:before="0" w:after="0" w:line="360" w:lineRule="auto"/>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项目类别：工程类</w:t>
      </w:r>
      <w:r/>
    </w:p>
    <w:p>
      <w:pPr>
        <w:ind w:left="0" w:right="0" w:firstLine="964"/>
        <w:jc w:val="both"/>
        <w:spacing w:before="0" w:after="0" w:line="360" w:lineRule="auto"/>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所属行业：</w:t>
      </w:r>
      <w:r>
        <w:rPr>
          <w:rFonts w:ascii="SimSun" w:hAnsi="SimSun" w:eastAsia="SimSun" w:cs="SimSun"/>
          <w:b/>
          <w:color w:val="000000"/>
          <w:spacing w:val="-6"/>
          <w:sz w:val="32"/>
        </w:rPr>
        <w:t xml:space="preserve">建筑业</w:t>
      </w:r>
      <w:r/>
    </w:p>
    <w:p>
      <w:pPr>
        <w:ind w:left="0" w:right="0" w:firstLine="964"/>
        <w:jc w:val="both"/>
        <w:spacing w:before="0" w:after="0" w:line="360" w:lineRule="auto"/>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苏州公正建设咨询房地产评估有限公司</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二○二五年十一月</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一、竞争性磋商采购公告</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二、供应商须知</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三、响应文件格式</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四、磋商采购文件</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五、合同主要条款</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六、技术要求</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七、评审方法</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前附表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00"/>
        <w:gridCol w:w="1843"/>
        <w:gridCol w:w="6412"/>
      </w:tblGrid>
      <w:tr>
        <w:trPr>
          <w:trHeight w:val="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               容</w:t>
            </w: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JSZC-320507-SZGZ-C2025-0152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如元路公交场站建设</w:t>
            </w:r>
            <w:r/>
          </w:p>
        </w:tc>
      </w:tr>
      <w:tr>
        <w:trPr>
          <w:trHeight w:val="11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名称：苏州公正建设咨询房地产评估有限公司</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联系地址：苏州市相城区华元路1902号2幢东楼2楼</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联系人：杨富珍、沈燕、陆帏帏、项陈</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联系电话：0512-67913588-6001</w:t>
            </w:r>
            <w:r/>
          </w:p>
        </w:tc>
      </w:tr>
      <w:tr>
        <w:trPr>
          <w:trHeight w:val="31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名称：苏州相城经济技术开发区管理委员会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地址：苏州市相城区蠡塘河路900号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联系人：邹晓东</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联系电话：0512-66180139</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详见采购文件第三章</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本项目不收取磋商保证金</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响应文件提交截止之日起六十天（日历日）</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2025年12月02日9点30分（北京时间）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投标文件必须在截止时间前完成提交（上传），逾期提交（上传）的投标文件恕不接受。</w:t>
            </w:r>
            <w:r/>
          </w:p>
        </w:tc>
      </w:tr>
      <w:tr>
        <w:trPr>
          <w:trHeight w:val="8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2025年12月02日9点30分（北京时间）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“苏采云”系统（网址：http://jszfcg.jsczt.cn/）</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本项目为不见面开标项目，开标阶段供应商在【供应商解密】环节必须使用 CA证书解密电子投标文件，如在系统规定的解密时间内未能完成解密的视为放弃投标。</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本项目采用电子响应文件，供应商按照采购文件要求制作上传电子响应文件，供应商中标后需提供与电子响应文件一致的纸质响应文件一正二副。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详见“四、评审方法及评分标准”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导致废标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出现下列情形之一的，为废标： </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符合专业条件的投标人或者对采购文件作实质响应的投标人不足三家的；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（二）出现影响采购公正的违法、违规行为的；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（三）投标人的报价均超过了采购预算，采购人不能支付的；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（四）因重大变故，采购任务取消的。</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投标无效因素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（一）有下列情形之一的，视为投标人串通投标，其投标无效：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1、不同投标人的响应文件由同一单位或者个人编制；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2、不同投标人委托同一单位或者个人办理投标事宜；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3、不同投标人的响应文件载明的项目管理成员或者联系人员为同一人；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4、不同投标人的响应文件异常一致或者投标报价呈规律性差异；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（二）投标人存在下列情况之一的，投标无效: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1、未按照采购文件的规定提交投标保证承诺书的；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2、未按照采购文件规定要求签署、盖章；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3、不具备采购文件中规定资格要求；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4、响应文件含有采购人不能接受的附加条件的；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5、法律、法规和采购文件规定的其他无效情形。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一、竞争性磋商公告</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20"/>
              <w:jc w:val="both"/>
              <w:spacing w:before="0" w:after="0" w:line="85"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如元路公交场站建设</w:t>
            </w:r>
            <w:r>
              <w:rPr>
                <w:rFonts w:ascii="SimSun" w:hAnsi="SimSun" w:eastAsia="SimSun" w:cs="SimSun"/>
                <w:color w:val="000000"/>
                <w:sz w:val="21"/>
              </w:rPr>
              <w:t xml:space="preserve">的潜在响应单位应在</w:t>
            </w:r>
            <w:r>
              <w:rPr>
                <w:rFonts w:ascii="Times New Roman" w:hAnsi="Times New Roman" w:eastAsia="Times New Roman" w:cs="Times New Roman"/>
                <w:color w:val="000000"/>
                <w:sz w:val="21"/>
                <w:highlight w:val="white"/>
                <w:u w:val="single"/>
              </w:rPr>
              <w:t xml:space="preserve">“</w:t>
            </w:r>
            <w:r>
              <w:rPr>
                <w:rFonts w:ascii="SimSun" w:hAnsi="SimSun" w:eastAsia="SimSun" w:cs="SimSun"/>
                <w:color w:val="000000"/>
                <w:sz w:val="21"/>
                <w:highlight w:val="white"/>
                <w:u w:val="single"/>
              </w:rPr>
              <w:t xml:space="preserve">苏采云</w:t>
            </w:r>
            <w:r>
              <w:rPr>
                <w:rFonts w:ascii="Times New Roman" w:hAnsi="Times New Roman" w:eastAsia="Times New Roman" w:cs="Times New Roman"/>
                <w:color w:val="000000"/>
                <w:sz w:val="21"/>
                <w:highlight w:val="white"/>
                <w:u w:val="single"/>
              </w:rPr>
              <w:t xml:space="preserve">”</w:t>
            </w:r>
            <w:r>
              <w:rPr>
                <w:rFonts w:ascii="SimSun" w:hAnsi="SimSun" w:eastAsia="SimSun" w:cs="SimSun"/>
                <w:color w:val="000000"/>
                <w:sz w:val="21"/>
                <w:highlight w:val="white"/>
                <w:u w:val="single"/>
              </w:rPr>
              <w:t xml:space="preserve">系统中</w:t>
            </w:r>
            <w:r>
              <w:rPr>
                <w:rFonts w:ascii="SimSun" w:hAnsi="SimSun" w:eastAsia="SimSun" w:cs="SimSun"/>
                <w:color w:val="000000"/>
                <w:sz w:val="21"/>
              </w:rPr>
              <w:t xml:space="preserve">获取采购文件，并于</w:t>
            </w:r>
            <w:r>
              <w:rPr>
                <w:rFonts w:ascii="SimSun" w:hAnsi="SimSun" w:eastAsia="SimSun" w:cs="SimSun"/>
                <w:color w:val="000000"/>
                <w:sz w:val="21"/>
                <w:u w:val="single"/>
              </w:rPr>
              <w:t xml:space="preserve">2025年12月02日9点30分</w:t>
            </w:r>
            <w:r>
              <w:rPr>
                <w:rFonts w:ascii="SimSun" w:hAnsi="SimSun" w:eastAsia="SimSun" w:cs="SimSun"/>
                <w:color w:val="000000"/>
                <w:sz w:val="21"/>
              </w:rPr>
              <w:t xml:space="preserve">（北京时间）前递交响应文件。</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项目编号：JSZC-320507-SZGZ-C2025-0152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项目名称：如元路公交场站建设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采购预算：人民币玖拾万捌仟肆佰伍拾柒元壹角肆分（ 908457.14元）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最高限价：人民币玖拾万捌仟肆佰伍拾柒元壹角肆分（ 908457.14元）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采购需求：对如元路公交场站建设，具体以图纸、工程量清单说明为准。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合同履行期限：工期【180】天。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（3）具有履行合同所必须的设备和专业技术能力；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2、落实政府采购政策需满足的资格要求：根据《政府采购促进中小企业发展管理办法》的相关规定，本项目专门面向中小企业，所属行业为建筑业，供应商应为中小微企业或监狱企业或残疾人福利性单位。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（1）申请人资质类别和等级：具备市政公用工程施工总承包叁级及以上资质，并具备安全生产条件，并取得安全生产许可证；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（2）拟选派项目经理资质等级：具有市政公用工程专业贰级建造师及以上，具有建设行政主管部门核发的《建筑施工企业项目负责人安全生产考核合格证书》（B类证）且无在建工程。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注：项目负责人需同时满足下列条件：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1）项目负责人不得同时在两个或者两个以上单位受聘或者执业。（同时在两个及以上单位签订劳动合同或交纳社会保险或将本人执（职）业资格证书同时注册在两个及以上单位）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（2）为采购项目提供整体设计、规范编制或者项目管理、监理、监测等服务的供应商，不得再参加该采购项目的其他采购活动。</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三、获取采购文件</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时间：自招标公告发布之日起至2025年11月25日</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方式：网上报名</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四、响应文件提交</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时间：2025年12月02日9：30（北京时间）</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地点：苏采云政府采购一体化平台开标大厅（网上不见面开标）</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五、开启</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时间：2025-12-02 09:30 （北京时间）</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地点：http://jszfcg.jsczt.cn/jszc/login苏采云系统</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六、公告期限</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1、本次采购的有关信息同时刊登在苏州市政府采购网、江苏政府采购网，敬请留意。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3、相城区政府采购监督管理部门监督电话：0512-67591005、67591006。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4、政府采购履约资金扶持政策：中标供应商可凭政府采购合同办理融资贷款，详情请见江苏政府采购网‘政采贷’专栏。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名称：苏州相城经济技术开发区管理委员会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地址：苏州市相城区蠡塘河路900号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联系人：邹晓东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联系电话：0512-66180139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名称：苏州公正建设咨询房地产评估有限公司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地址：苏州市相城区华元路1902号2幢东楼2楼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联系人：杨富珍、沈燕、陆帏帏、项陈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联系电话：0512-67913588-6001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项目联系人：杨富珍、沈燕、陆帏帏、项陈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电话：0512-67913588-6001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1、本工程项目根据《招标投标法》、《中华人民共和国政府采购法》、《政府采购非招标采购方式管理办法》等有关规定，按照现行法律、法规和部门规章，通过竞争性磋商方式，选定承包人。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2、现场条件：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2.1施工现场平整情况：</w:t>
      </w:r>
      <w:r>
        <w:rPr>
          <w:rFonts w:ascii="SimSun" w:hAnsi="SimSun" w:eastAsia="SimSun" w:cs="SimSun"/>
          <w:color w:val="000000"/>
          <w:sz w:val="21"/>
          <w:u w:val="single"/>
        </w:rPr>
        <w:t xml:space="preserve">场地</w:t>
      </w:r>
      <w:r>
        <w:rPr>
          <w:rFonts w:ascii="SimSun" w:hAnsi="SimSun" w:eastAsia="SimSun" w:cs="SimSun"/>
          <w:color w:val="000000"/>
          <w:sz w:val="21"/>
          <w:u w:val="single"/>
        </w:rPr>
        <w:t xml:space="preserve">未</w:t>
      </w:r>
      <w:r>
        <w:rPr>
          <w:rFonts w:ascii="SimSun" w:hAnsi="SimSun" w:eastAsia="SimSun" w:cs="SimSun"/>
          <w:color w:val="000000"/>
          <w:sz w:val="21"/>
          <w:u w:val="single"/>
        </w:rPr>
        <w:t xml:space="preserve">平整</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2.2场内外道路：</w:t>
      </w:r>
      <w:r>
        <w:rPr>
          <w:rFonts w:ascii="SimSun" w:hAnsi="SimSun" w:eastAsia="SimSun" w:cs="SimSun"/>
          <w:color w:val="000000"/>
          <w:sz w:val="21"/>
          <w:u w:val="single"/>
        </w:rPr>
        <w:t xml:space="preserve">原有现状</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2.3施工用水电：</w:t>
      </w:r>
      <w:r>
        <w:rPr>
          <w:rFonts w:ascii="SimSun" w:hAnsi="SimSun" w:eastAsia="SimSun" w:cs="SimSun"/>
          <w:color w:val="000000"/>
          <w:sz w:val="21"/>
          <w:u w:val="single"/>
        </w:rPr>
        <w:t xml:space="preserve">自行解决，费用由承包商承担，考虑在报价中</w:t>
      </w:r>
      <w:r>
        <w:rPr>
          <w:rFonts w:ascii="SimSun" w:hAnsi="SimSun" w:eastAsia="SimSun" w:cs="SimSun"/>
          <w:color w:val="000000"/>
          <w:sz w:val="21"/>
        </w:rPr>
        <w:t xml:space="preserve">。</w:t>
      </w:r>
      <w:r/>
    </w:p>
    <w:p>
      <w:pPr>
        <w:ind w:left="0" w:right="0" w:firstLine="4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3、发包范围: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施工主要内容为</w:t>
      </w:r>
      <w:r>
        <w:rPr>
          <w:rFonts w:ascii="SimSun" w:hAnsi="SimSun" w:eastAsia="SimSun" w:cs="SimSun"/>
          <w:color w:val="000000"/>
          <w:sz w:val="21"/>
          <w:u w:val="single"/>
        </w:rPr>
        <w:t xml:space="preserve">对如元路公交场站建设等</w:t>
      </w:r>
      <w:r>
        <w:rPr>
          <w:rFonts w:ascii="SimSun" w:hAnsi="SimSun" w:eastAsia="SimSun" w:cs="SimSun"/>
          <w:color w:val="000000"/>
          <w:sz w:val="21"/>
        </w:rPr>
        <w:t xml:space="preserve">，具体以图纸、工程量清单说明为准（其他详见磋商文件）。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4、工期要求：180日历天</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5、质量要求：</w:t>
      </w:r>
      <w:r>
        <w:rPr>
          <w:rFonts w:ascii="SimSun" w:hAnsi="SimSun" w:eastAsia="SimSun" w:cs="SimSun"/>
          <w:color w:val="000000"/>
          <w:sz w:val="21"/>
          <w:u w:val="single"/>
        </w:rPr>
        <w:t xml:space="preserve">合格</w:t>
      </w:r>
      <w:r>
        <w:rPr>
          <w:rFonts w:ascii="SimSun" w:hAnsi="SimSun" w:eastAsia="SimSun" w:cs="SimSun"/>
          <w:color w:val="000000"/>
          <w:sz w:val="21"/>
        </w:rPr>
        <w:t xml:space="preserve">。</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6、磋商响应单位资格要求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6.1供应商应当具备下列一般条件：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6.1.5参加政府采购活动近三年内，在经营活动中没有重大违法记录；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根据《政府采购促进中小企业发展管理办法》的相关规定，本项目专门面向中小微企业，所属行业为</w:t>
      </w:r>
      <w:r>
        <w:rPr>
          <w:rFonts w:ascii="SimSun" w:hAnsi="SimSun" w:eastAsia="SimSun" w:cs="SimSun"/>
          <w:color w:val="000000"/>
          <w:sz w:val="21"/>
          <w:u w:val="single"/>
        </w:rPr>
        <w:t xml:space="preserve">建筑业</w:t>
      </w:r>
      <w:r>
        <w:rPr>
          <w:rFonts w:ascii="SimSun" w:hAnsi="SimSun" w:eastAsia="SimSun" w:cs="SimSun"/>
          <w:color w:val="000000"/>
          <w:sz w:val="21"/>
        </w:rPr>
        <w:t xml:space="preserve">，承接服务的供应商应为中小微企业或监狱企业或残疾人福利性单位。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6.3供应商应当具备下列特殊条件：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6.3.1申请人资质类别和等级：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（1）申请人资质类别和等级：具备市政公用工程施工总承包叁级及以上资质，并具备安全生产条件，并取得安全生产许可证；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（2）拟选派项目经理资质等级：具有市政公用工程专业贰级建造师及以上，具有建设行政主管部门核发的《建筑施工企业项目负责人安全生产考核合格证书》（B类证）且无在建工程。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注：项目负责人需同时满足下列条件：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1）项目负责人不得同时在两个或者两个以上单位受聘或者执业。（同时在两个及以上单位签订劳动合同或交纳社会保险或将本人执（职）业资格证书同时注册在两个及以上单位）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6.3.2根据政府采购法及相关法规，采购代理人将对供应商进行信用查询。对列入失信被执行人、重大税收违法案件当事人名单、政府采购严重违法失信行为记录名单的供应商，拒绝其参与政府采购活动。</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6.3.3本项目不接受联合体。</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磋商供应商承担其编制及递交磋商响应文件的一切费用，无论结果如何，发包人对上述费用不负任何责任。</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（二）磋商采购文件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8、磋商采购文件的组成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8.1磋商采购文件包括下列内容：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8.1.1竞争性磋商公告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8.1.2磋商须知前附表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8.1.3供应商须知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8.1.4响应文件格式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8.1.5磋商采购文件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8.1.6合同主要条款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8.1.7技术要求、图纸（如有）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8.1.8评审方法与评审标准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9、磋商文件的澄清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磋商小组要求供应商澄清、说明或者更正响应文件应当以书面形式做出。供应商的澄清、说明或者更正应当由其单位加盖电子公章。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（三）磋商报价说明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投标报价应根据采购文件中的有关计价要求，并按照下列依据自主报价，但不得低于成本。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(1)本磋商采购文件；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(2)《建设工程工程量清单计价规范》 (GB50500-2013) 及其9本计算规范；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(3)国家或省级、行业建设主管部门颁发的计价办法；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(4)企业定额，国家或省级、行业建设主管部门颁发的计价定额；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(5)磋商采购文件、招标采购工程量清单及其补充通知、答疑纪要；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(6)建设工程设计文件及相关资料；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(7)施工现场情况、工程特点及拟定的投标施工组织设计或施工方案；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(8)与建设项目相关的标准、规范等技术资料；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(9)市场价格信息或工程造价管理机构发布的工程造价信息；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其他的相关资料。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11、计价方式：本工程项目采用下列第1种计价方式。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11.1工程量清单计价方式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11.2计价表计价方式</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12、报价方式：本工程项目采用下列第2种报价方式。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（1）固定总价报价。竞争报价人应充分考虑施工期间各类建材市场价格变化，政策性调整的风险，一旦经评审确定承包人，报价不作调整。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（2）固定综合单价报价。具体调整办法可如下：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磋商供应商报价时，必须按统一的工程量清单报价，成交后，本工程中工程量清单中的项目综合单价按第一次投标报价下浮之后的综合单价执行【成交下浮率＝（第一次投标报价-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其增加部分的工程量或者减少后剩余部分的工程量的综合单价由承包人提</w:t>
      </w:r>
      <w:r>
        <w:rPr>
          <w:rFonts w:ascii="SimSun" w:hAnsi="SimSun" w:eastAsia="SimSun" w:cs="SimSun"/>
          <w:color w:val="000000"/>
          <w:sz w:val="21"/>
        </w:rPr>
        <w:t xml:space="preserve">出，经发包人确认后，作为支付进度款的依据，最终价格以审计为准。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b/>
          <w:color w:val="000000"/>
          <w:sz w:val="21"/>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14、计价格式中列明的所有需要填报的单价和合价，磋商响应单位均需填报，未填报的单价和合价，视为此项费用已包含在工程量清单的其他单价和合价中。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16、服务费：本次招标项目中标服务费由中标人支付，本项目代理费金额为</w:t>
      </w:r>
      <w:r>
        <w:rPr>
          <w:rFonts w:ascii="SimSun" w:hAnsi="SimSun" w:eastAsia="SimSun" w:cs="SimSun"/>
          <w:b/>
          <w:color w:val="000000"/>
          <w:sz w:val="21"/>
        </w:rPr>
        <w:t xml:space="preserve">13626</w:t>
      </w:r>
      <w:r>
        <w:rPr>
          <w:rFonts w:ascii="SimSun" w:hAnsi="SimSun" w:eastAsia="SimSun" w:cs="SimSun"/>
          <w:color w:val="000000"/>
          <w:sz w:val="21"/>
        </w:rPr>
        <w:t xml:space="preserve">元，供应商所投报价应当包含该项目代理服务费，该费用应在领取中标通知书时付清。具体收费以如下比例按差额定率累进法进行计算：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收费标准：预算金额100万以下费率为预算金额的1.5%；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预算金额100－500万费率为预算金额的1.1%。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户 名：苏州公正建设咨询房地产评估有限公司新城分公司</w:t>
      </w:r>
      <w:r/>
    </w:p>
    <w:p>
      <w:pPr>
        <w:ind w:left="0" w:right="0" w:firstLine="420"/>
        <w:jc w:val="both"/>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开户银行：平安银行苏州分行营业部</w:t>
      </w:r>
      <w:r/>
    </w:p>
    <w:p>
      <w:pPr>
        <w:ind w:left="0" w:right="0" w:firstLine="420"/>
        <w:jc w:val="both"/>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账号：15946344870016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（四）磋商响应文件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17、磋商响应文件组成：（采购文件内格式与系统内格式不一致的，以系统内格式要求为准）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（1）封面；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（3）资格审查响应文件：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3.1供应商有效的营业执照、资质证书、安全生产许可证原件扫描件；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3.2项目经理身份证、注册证书、《安全生产考核合格证》（B类证）等相关资料原件扫描件；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3.3项目经理无在建工程承诺书（格式见附件）；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3.4供应商满足条件的资格证明文件：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①具有独立承担民事责任的能力证明。（包括法人或者其他组织的营业执照等证明文件，自然人的身份证明）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②良好的商业信誉和健全的财务会计制度；（包括但不限于最近一期经审计的财务报告，其他组织、自然人及成立未满一年的法人应提供银行出具的资信证明）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③具备履行合同所必需的设备和专业技术能力的证明材料（具备履行合同的相关设备、人员等证明材料）；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④依法缴纳税收和社会保障资金的良好记录：包括但不限于最新一期的缴纳税收的凭据，最新一期社会保险缴纳的凭据（专用收据或社会保险缴纳清单扫描件）；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⑤参加政府采购活动前三年内，在经营活动中没有重大违法记录的声明（格式自拟）；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3.6预算清单内产品在《节能产品政府采购清单》和《环境标志产品政府采购清单》中的产品须提供清单汇总（格式自拟）及对响应产品的认证证书（如有）；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（4）符合性审查响应文件：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4.1磋商响应单位法定代表人身份证扫描件（双面，须在有效期内）；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4.2法定代表人授权委托书（如有授权）；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4.3授权委托代理人身份证扫描件（如有授权）（双面，须在有效期内）；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4.4磋商响应函（格式见附件）；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4.5工程量清单报价表（详见工程量清单格式，其附件请联系代理公司通过邮件发送）；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4.6响应保证承诺书（格式见附件）；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4.7</w:t>
      </w:r>
      <w:r>
        <w:rPr>
          <w:rFonts w:ascii="SimSun" w:hAnsi="SimSun" w:eastAsia="SimSun" w:cs="SimSun"/>
          <w:color w:val="000000"/>
          <w:sz w:val="21"/>
        </w:rPr>
        <w:t xml:space="preserve">商务要求偏离表、服务（技术）要求偏离表；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4.8项目组人员一览表、投入专用设施设备清单（格式自拟）；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4.9采购文件中所涉及到的其他材料。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（5）综合评审响应文件：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5.1《企业类似业绩一览表》（格式见附件）；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5.2施工方案（自拟）；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5.3采购文件中采购需求、附件格式及评分标准中所涉及到的其他材料如人员证书、获奖文件、荣誉证书等与本项目有关的其它资料。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以上3.1-3.5为资格审查要求提供的材料，是作为对供应商资格审查、质疑身份认定的依据，响应供应商必须提供并加盖电子公章。否则，磋商响应文件将被认定为不符合资格审查要求，视为不实质性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（2）以上4.1-4.7为符合性审查须提供的资料，响应供应商必须提供并加盖电子公章。否则，磋商响应文件将被认定为未实质性响应。</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（3）响应单位所提交的其它资料文件的完整与否，将直接影响磋商供应商的评分。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18、电子化要求：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本项目采用电子响应文件，供应商按照采购文件要求制作上传电子响应文件，供应商无需提供纸质响应文件。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18.1电子投标准备：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18.2磋商响应文件编制要求：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本项目采用电子招投标形式，请供应商按照《苏采云系统供应商操作手册》进行制作、上传电子响应文件。</w:t>
      </w:r>
      <w:r>
        <w:rPr>
          <w:rFonts w:ascii="SimSun" w:hAnsi="SimSun" w:eastAsia="SimSun" w:cs="SimSun"/>
          <w:b/>
          <w:color w:val="000000"/>
          <w:sz w:val="21"/>
        </w:rPr>
        <w:t xml:space="preserve">电子响应文件制作完成后请于响应文件递交截止时间前成功上传至“苏采云”系统，否则视为放弃参加该采购项目。</w:t>
      </w: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（1）地点：“苏采云”系统（网址：http://jszfcg.jsczt.cn/）。响应文件网上递交，不需要现场参加采购活动，无需提供纸质响应文件。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（1）地点：“苏采云”系统（网址：http://jszfcg.jsczt.cn/）。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请供应商确保电脑、系统及其他设备（视频输入输出设备等）无误，且开启直至项目结束始终保持系统在线状态。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18.5本项目采用线上二次报价：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已提交响应文件的供应商，在提交最后报价之前，可以根据磋商情况退出磋商，并在“苏采云”系统中提交“退出磋商函”并加盖CA电子公章。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进入项目评审流程后，建议各供应商法定代表人或授权委托人始终保持通讯顺畅，时刻关注不见面开标大厅，不离开不见面开标大厅。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19、节能产品和环境标志产品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ascii="SimSun" w:hAnsi="SimSun" w:eastAsia="SimSun" w:cs="SimSun"/>
          <w:b/>
          <w:color w:val="000000"/>
          <w:sz w:val="21"/>
          <w:u w:val="single"/>
        </w:rPr>
        <w:t xml:space="preserve">节能产品政府采购品目清单中政府强制采购产品，需提供节能产品认证证书，作为响应文件的组成部分</w:t>
      </w:r>
      <w:r>
        <w:rPr>
          <w:rFonts w:ascii="SimSun" w:hAnsi="SimSun" w:eastAsia="SimSun" w:cs="SimSun"/>
          <w:b/>
          <w:color w:val="000000"/>
          <w:sz w:val="21"/>
        </w:rPr>
        <w:t xml:space="preserve">，未提供或提供不全的将视为未实质性响应采购要求。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20、信用记录评审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（2.2）财政部门与法院、工商、税务等部门联合惩戒的失信信息。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第2.1条的失信信息应通过“中国政府采购网”网（www.ccgp.gov.cn）的“政府采购严重违法失信行为记录名单”，以及“信用中国”网（www.creditchina.gov.cn）的“政府采购严重违法失信名单”栏目予以查询。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（3）查询渠道：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（4）查询截止时点：在响应文件递交截止时间之前，供应商完成报名解密后，“供应商信用查询”系统将自动完成对供应商信用记录的查询。</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21.1中小微企业相关政策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（1）本项目属于专门面向中小微企业采购的项目。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（2）依据《政府采购促进中小企业发展管理办法》及本项目采购文件规定获得政府采购合同的中小微企业不得将合同分包给大型企业。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（3）本项目采购标的对应的中小企业划分标准所属行业为：</w:t>
      </w:r>
      <w:r>
        <w:rPr>
          <w:rFonts w:ascii="SimSun" w:hAnsi="SimSun" w:eastAsia="SimSun" w:cs="SimSun"/>
          <w:color w:val="000000"/>
          <w:sz w:val="21"/>
          <w:u w:val="single"/>
        </w:rPr>
        <w:t xml:space="preserve">建筑业</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（5）本项目中供应商提供的服务由中小微企业承接，即提供服务的人员为中小微企业依照《中华人民共和国劳动合同法》订立劳动合同的从业人员。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（6）若供应商提供的《中小企业声明函》为虚假声明则视同提供虚假材料，按政府采购相关规定处理并报由政府监管部门给予行政处罚。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21.2残疾人福利性单位相关政策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贯彻执行绿色采购、促进残疾人就业和支持监狱企业发展有关政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w:t>
      </w:r>
      <w:r>
        <w:rPr>
          <w:rFonts w:ascii="SimSun" w:hAnsi="SimSun" w:eastAsia="SimSun" w:cs="SimSun"/>
          <w:color w:val="000000"/>
          <w:sz w:val="21"/>
        </w:rPr>
        <w:t xml:space="preserve">中标、成交结果同时公告其《残疾人福利性单位声明函》，接受社会监督。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21.3监狱企业相关政策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22、报价（编制）要求的说明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22.1根据提供的磋商文件、工程量清单及有关资料单独编制相关项目实施的磋商报价并汇总填入《已标价工程量清单》；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23.2磋商报价明细中标的物顺序和数量均应按本磋商文件提供的采购清单顺序和数量。如发现响应报价中有错算现象，一旦成交，磋商供应商自行承担错算这部分的经济损失。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22.4一项响应内容只允许一个报价，采购人不接受任何有选择性的响应报价。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22.5响应文件中报价全部采用人民币表示，除非合同的特殊条款另有规定。</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（五）磋商评审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23、磋商程序</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（1）采购代理机构按本须知规定的时间、地点主持磋商采购活动。</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（3）由磋商小组审查供应商解密的响应文件。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2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right="0" w:firstLine="42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color w:val="000000"/>
          <w:sz w:val="21"/>
        </w:rPr>
        <w:t xml:space="preserve">(</w:t>
      </w:r>
      <w:r>
        <w:rPr>
          <w:rFonts w:ascii="SimSun" w:hAnsi="SimSun" w:eastAsia="SimSun" w:cs="SimSun"/>
          <w:b/>
          <w:color w:val="000000"/>
          <w:sz w:val="21"/>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1"/>
        </w:rPr>
        <w:t xml:space="preserve">磋商小组通过“苏采云”系统向供应商发布“磋商函”，供应商应当按照要求在“苏采云”系统提交“磋商响应函”并加盖CA电子公章。</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（8）供应商应当按照采购文件的变动情况和磋商小组的要求，各供应商应及时关注【评审】环节等待询标澄清进行回复。</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（9）磋商结束后，</w:t>
      </w:r>
      <w:r>
        <w:rPr>
          <w:rFonts w:ascii="SimSun" w:hAnsi="SimSun" w:eastAsia="SimSun" w:cs="SimSun"/>
          <w:b/>
          <w:color w:val="000000"/>
          <w:sz w:val="21"/>
        </w:rPr>
        <w:t xml:space="preserve">磋商小组将在“苏采云”系统向所有实质性响应的供应商发布“最后报价要求函”及最后报价格式表，要求所有实质性响应的供应商在规定时间内提交最后报价。</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（10）经磋商确定最终采购需求和提交最后报价的供应商后，由磋商小组采用综合评分法对提交最后报价的供应商的响应文件和最后报价进行综合评分。</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（11）磋商小组根据磋商成交原则确定成交供应商，并将结果通知所有参加磋商的供应商。</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（12）如磋商过程中出现本采购文件未尽事宜，由磋商小组根据政府采购有关法律、法规讨论决定。</w:t>
      </w:r>
      <w:r/>
    </w:p>
    <w:p>
      <w:pPr>
        <w:ind w:left="0" w:right="0" w:firstLine="3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rPr>
          <w:rFonts w:ascii="SimSun" w:hAnsi="SimSun" w:eastAsia="SimSun" w:cs="SimSun"/>
          <w:b/>
          <w:color w:val="000000"/>
          <w:sz w:val="21"/>
        </w:rPr>
        <w:t xml:space="preserve">出现下列情况之一的应为无效报价文件，将不予评审；</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（1）磋商响应文件未加盖磋商供应商公章、法定代表人或其授权委托人的印鉴或签字的；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（2）供应商资格不符合磋商公告要求的；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（3）报价高于采购预算或采购最高限价；</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（4）未满足发包人要求工期和质量等级要求的；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（5）擅自变更项目经理的；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（6）改变随同磋商文件提供的工程量清单中的项目编码、项目名称、项目特征、计量单位、工程量及不可竞争费用等的；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（7）未提供磋商文件中要求的原件及相关证明的；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（8）未满足磋商文件中其他要求的。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25、磋商小组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25.1磋商小组由磋商采购单位依法组建，由采购单位代表、专家评委组成。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25.2磋商小组负责具体的磋商事务，并独立履行以下职责：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25.3审查磋商响应文件是否符合磋商采购文件的要求，并作出评价；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25.4可以要求磋商供应商对磋商响应文件有关事项作出解释或澄清；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25.5推荐成交候选供应商名单；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25.6向磋商采购单位或者有关部门报告非法干预磋商工作的行为。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25.7磋商小组成员应当履行下列义务：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25.7.1遵纪守法，客观、公正、廉洁地履行职责；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25.7.2按照磋商采购文件规定的评审办法和评分标准进行评审，对评审意见承担个人责任；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25.7.3对磋商过程和结果，以及磋商供应商的商业秘密保密；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25.7.4参与评审报告的起草；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25.7.5配合相关部门的投诉处理工作；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25.7.6配合磋商采购单位答复磋商供应商提出的质疑。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26、出现下列情况之一的应为无效报价文件，将不予评审：</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（1）磋商响应文件未加盖磋商供应商公章、法定代表人或其授权委托人的印鉴或签字的；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（2）供应商资格不符合磋商公告要求的；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（3）报价高于采购预算或采购最高限价；</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（4）未满足发包人要求工期和质量等级要求的；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（5）擅自变更项目经理的；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（6）改变随同磋商文件提供的工程量清单中的项目编码、项目名称、项目特征、计量单位、工程量及不可竞争费用等的；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（7）未提供磋商文件中要求的原件及相关证明的；</w:t>
      </w:r>
      <w:r/>
    </w:p>
    <w:p>
      <w:pPr>
        <w:ind w:left="0" w:right="0" w:firstLine="315"/>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（8）未满足磋商文件中其他要求的。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27、项目的终止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出现下列情形之一的，将终止磋商性磋商采购活动：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27.1因情况变化，不再符合规定的竞争性磋商采购方式适用情形的；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27.3在采购过程中符合磋商要求的供应商或者报价未超过采购预算的供应商不足3家的。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28、关于磋商的有关说明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28.1二次报价超过预算价的，不能成交；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28.2供应商的二次报价均超过采购最高限价的，磋商采购失败。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28.3评审不合格的不能成交；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28.4评审合格不满三家或进入二次报价的不满三家或二次报价在采购最高限价内不满三家的，磋商采购失败。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28.5凡涉及磋商采购文件的补充说明和修改，均以苏州市政府采购网上发布的为准。</w:t>
      </w:r>
      <w:r/>
    </w:p>
    <w:p>
      <w:pPr>
        <w:ind w:left="0" w:right="0" w:firstLine="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对本章所有的格式 ，供应商可根据自身情况进行补充和修改，但补充和修改不得造成与本格式内容有实质性的违背。</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1、封面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 封面）</w:t>
      </w:r>
      <w:r>
        <w:rPr>
          <w:rFonts w:ascii="SimSun" w:hAnsi="SimSun" w:eastAsia="SimSun" w:cs="SimSun"/>
          <w:color w:val="000000"/>
          <w:sz w:val="21"/>
        </w:rPr>
        <w:t xml:space="preserve">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竞 争 磋 商 报 价 文 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响应单位（盖章）：</w:t>
      </w:r>
      <w:r/>
    </w:p>
    <w:p>
      <w:pPr>
        <w:ind w:left="0" w:right="0" w:firstLine="1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5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1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日期：2025年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hd w:val="nil" w:color="auto"/>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2、磋商响应函</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磋商响应函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（采购代理机构）</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我们收到贵公司</w:t>
      </w:r>
      <w:r>
        <w:rPr>
          <w:rFonts w:ascii="SimSun" w:hAnsi="SimSun" w:eastAsia="SimSun" w:cs="SimSun"/>
          <w:b/>
          <w:color w:val="000000"/>
          <w:sz w:val="21"/>
          <w:u w:val="single"/>
        </w:rPr>
        <w:t xml:space="preserve">（采购编号）</w:t>
      </w:r>
      <w:r>
        <w:rPr>
          <w:rFonts w:ascii="SimSun" w:hAnsi="SimSun" w:eastAsia="SimSun" w:cs="SimSun"/>
          <w:color w:val="000000"/>
          <w:sz w:val="21"/>
        </w:rPr>
        <w:t xml:space="preserve">号磋商文件，经仔细阅读和研究，我们决定参加贵单位组织的本项目磋商活动。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1、我们愿意按照磋商文件的一切要求，完成该项目的全部内容。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2、如果我们的磋商响应文件被接受，我们将严格履行磋商文件中规定的每一项要求，按期、按质、按量履行合同的义务。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3、我们已详细阅读全部磋商文件，包括更正公告(如有)，对磋商文件及更正公告(如有)无任何异议。我们完全理解并同意放弃对这方面有不明及误解的权力。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4、我们同意按磋商文件中的规定，本响应文件的有效期限自提交响应文件截止时间之日起60天。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5、我们愿意提供磋商采购单位在磋商文件中要求的所有资料。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6、我们愿意遵守磋商文件中所列的收费标准。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7、我们承诺该响应文件在磋商开始后的全过程中保持有效，不作任何更改和变动。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8、我们承诺我公司符合磋商文件供应商须知中“合格供应商的基本、特定条件”的要求，若与真实情况不符，本公司愿意承担由此而产生的一切后果。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9、我们声明：我们在参加本次政府采购活动前3年内在经营活动中没有重大违法记录。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日期：2025年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hd w:val="nil" w:color="auto"/>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本授权委托书声明：我（姓名）系（磋商供应商名称）的法定代表人，现授权委托（单位名称）的（姓名）为我的委托代理人，以本公司的名义参加</w:t>
      </w:r>
      <w:r>
        <w:rPr>
          <w:rFonts w:ascii="SimSun" w:hAnsi="SimSun" w:eastAsia="SimSun" w:cs="SimSun"/>
          <w:color w:val="000000"/>
          <w:sz w:val="21"/>
          <w:u w:val="single"/>
        </w:rPr>
        <w:t xml:space="preserve">                   </w:t>
      </w:r>
      <w:r>
        <w:rPr>
          <w:rFonts w:ascii="SimSun" w:hAnsi="SimSun" w:eastAsia="SimSun" w:cs="SimSun"/>
          <w:color w:val="000000"/>
          <w:sz w:val="21"/>
        </w:rPr>
        <w:t xml:space="preserve">组织实施的编号</w:t>
      </w:r>
      <w:r>
        <w:rPr>
          <w:rFonts w:ascii="SimSun" w:hAnsi="SimSun" w:eastAsia="SimSun" w:cs="SimSun"/>
          <w:color w:val="000000"/>
          <w:sz w:val="21"/>
          <w:u w:val="single"/>
        </w:rPr>
        <w:t xml:space="preserve">              </w:t>
      </w:r>
      <w:r>
        <w:rPr>
          <w:rFonts w:ascii="SimSun" w:hAnsi="SimSun" w:eastAsia="SimSun" w:cs="SimSun"/>
          <w:color w:val="000000"/>
          <w:sz w:val="21"/>
        </w:rPr>
        <w:t xml:space="preserve">号的磋商采购活动。代理人在磋商活动过程中所签署的一切文件和处理与这有关的一切事务，我均予以承认。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委托代理人在授权委托书有效期内签署的所有文件不因授权委托的撤销而失效，除非有撤销授权委托的书面通知，本授权委托书自磋商活动开始至合同履行完毕止。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委托代理人无转委托权。特此委托。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响应单位：（单位盖章）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附：法定代表人身份证复印件（双面）</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委托代理人身份证复印件（双面、如有授权）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 价 书（第一次报价）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（采购代理机构）</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（一）根据已收到的工程的磋商文件，遵照现行法律法规的有关规定，我单位经考察现场和研究磋商文件后，愿以人民币（大写）</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元）</w:t>
      </w:r>
      <w:r>
        <w:rPr>
          <w:rFonts w:ascii="SimSun" w:hAnsi="SimSun" w:eastAsia="SimSun" w:cs="SimSun"/>
          <w:color w:val="000000"/>
          <w:sz w:val="21"/>
        </w:rPr>
        <w:t xml:space="preserve">的总价，按磋商文件的要求承包本次发包范围内的全部工程。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SimSun" w:hAnsi="SimSun" w:eastAsia="SimSun" w:cs="SimSun"/>
          <w:color w:val="000000"/>
          <w:spacing w:val="16"/>
          <w:sz w:val="21"/>
        </w:rPr>
        <w:t xml:space="preserve">我单位保证在收到贵单位发出的书面开工令后立即开工，并在</w:t>
      </w:r>
      <w:r>
        <w:rPr>
          <w:rFonts w:ascii="SimSun" w:hAnsi="SimSun" w:eastAsia="SimSun" w:cs="SimSun"/>
          <w:color w:val="000000"/>
          <w:spacing w:val="16"/>
          <w:sz w:val="21"/>
          <w:u w:val="single"/>
        </w:rPr>
        <w:t xml:space="preserve">    天</w:t>
      </w:r>
      <w:r>
        <w:rPr>
          <w:rFonts w:ascii="SimSun" w:hAnsi="SimSun" w:eastAsia="SimSun" w:cs="SimSun"/>
          <w:color w:val="000000"/>
          <w:spacing w:val="16"/>
          <w:sz w:val="21"/>
        </w:rPr>
        <w:t xml:space="preserve">内竣工。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（三）我单位保证本工程质量达到</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（四）贵单位的磋商文件、成交通知书和本磋商文件将构成约束我们双方的合同。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日期：2025年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5、工程量清单报价表，自行制作。（根据工程量清单报价）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6、施工组织方案（格式自拟）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7、施工组织机构人员名单</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施工组织机构人员名单</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3"/>
        <w:gridCol w:w="1684"/>
        <w:gridCol w:w="1636"/>
        <w:gridCol w:w="1563"/>
        <w:gridCol w:w="1488"/>
        <w:gridCol w:w="17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拟在本项目中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担任的职务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职称/资格证书号（岗位证号）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主要资历和项目管理经历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shd w:val="nil" w:color="auto"/>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8、类似业绩一览表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类似业绩一览表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9"/>
        <w:gridCol w:w="1942"/>
        <w:gridCol w:w="1092"/>
        <w:gridCol w:w="1446"/>
        <w:gridCol w:w="1589"/>
        <w:gridCol w:w="1404"/>
        <w:gridCol w:w="1092"/>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开、竣工日期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附：合同、竣工验收单或相关竣工证明材料复印件。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hd w:val="nil" w:color="auto"/>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9、项目经理无在建工程承诺书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项目经理无在建工程承诺书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我公司拟派</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项目的项目经理</w:t>
      </w:r>
      <w:r>
        <w:rPr>
          <w:rFonts w:ascii="SimSun" w:hAnsi="SimSun" w:eastAsia="SimSun" w:cs="SimSun"/>
          <w:color w:val="000000"/>
          <w:sz w:val="21"/>
          <w:u w:val="single"/>
        </w:rPr>
        <w:t xml:space="preserve">         （姓名）</w:t>
      </w:r>
      <w:r>
        <w:rPr>
          <w:rFonts w:ascii="SimSun" w:hAnsi="SimSun" w:eastAsia="SimSun" w:cs="SimSun"/>
          <w:color w:val="000000"/>
          <w:sz w:val="21"/>
        </w:rPr>
        <w:t xml:space="preserve">属于下列：</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非变更后无在建工程</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变更后无在建工程（必须原合同工期已满且变更备案之日已满6个月）</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因非承包方原因致使工程项目停工或因故不能按期开工、且已办理了项目经理解锁手续</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有在建工程，但该在建工程与本次招标（采购）的工程属于同一工程项目、同一项目批文、同一施工地点分段发包或分期施工的情况且总的工程规模在项目经理执业范围之内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注：选择以上（2）、（3）、（4）的需提供证明材料扫描件，无证明材料不予认可。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10、资格证明文件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关于资格文件的声明函</w:t>
      </w:r>
      <w:r/>
    </w:p>
    <w:p>
      <w:pPr>
        <w:ind w:left="0" w:right="0" w:firstLine="12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color="auto"/>
      </w:pPr>
      <w:r>
        <w:rPr>
          <w:rFonts w:ascii="SimSun" w:hAnsi="SimSun" w:eastAsia="SimSun" w:cs="SimSun"/>
          <w:color w:val="000000"/>
          <w:sz w:val="21"/>
          <w:highlight w:val="none"/>
        </w:rPr>
        <w:br w:type="page" w:clear="all"/>
      </w:r>
      <w:r>
        <w:rPr>
          <w:rFonts w:ascii="SimSun" w:hAnsi="SimSun" w:eastAsia="SimSun" w:cs="SimSun"/>
          <w:color w:val="000000"/>
          <w:sz w:val="21"/>
          <w:highlight w:val="none"/>
        </w:rPr>
      </w:r>
      <w:r/>
    </w:p>
    <w:p>
      <w:pPr>
        <w:ind w:left="0" w:right="0" w:firstLine="0"/>
        <w:spacing w:before="0" w:after="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（2）响应单位情况表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响应单位情况表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16"/>
        <w:gridCol w:w="1777"/>
        <w:gridCol w:w="2133"/>
        <w:gridCol w:w="1422"/>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8"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8"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8"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8" w:type="dxa"/>
            <w:vAlign w:val="top"/>
            <w:textDirection w:val="lrTb"/>
            <w:noWrap/>
          </w:tcPr>
          <w:p>
            <w:pPr>
              <w:ind w:left="0" w:right="0" w:firstLine="15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2024年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8"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自有面积     平方米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承租面积     平方米</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8"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8"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8"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8"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8" w:type="dxa"/>
            <w:vAlign w:val="top"/>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最近3年内主要负责人有无经济犯罪被司法机关追究的情意及说明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8"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8"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8" w:type="dxa"/>
            <w:vAlign w:val="top"/>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color="auto"/>
      </w:pPr>
      <w:r>
        <w:rPr>
          <w:rFonts w:ascii="SimSun" w:hAnsi="SimSun" w:eastAsia="SimSun" w:cs="SimSun"/>
          <w:color w:val="000000"/>
          <w:sz w:val="21"/>
          <w:highlight w:val="none"/>
        </w:rPr>
        <w:br w:type="page" w:clear="all"/>
      </w:r>
      <w:r>
        <w:rPr>
          <w:rFonts w:ascii="SimSun" w:hAnsi="SimSun" w:eastAsia="SimSun" w:cs="SimSun"/>
          <w:color w:val="000000"/>
          <w:sz w:val="21"/>
          <w:highlight w:val="none"/>
        </w:rPr>
      </w:r>
      <w:r/>
    </w:p>
    <w:p>
      <w:pPr>
        <w:ind w:left="0" w:right="0" w:firstLine="0"/>
        <w:spacing w:before="0" w:after="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（3）响应单位与其他单位存在控股、管理关系情况表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响应单位与其他单位存在控股、管理关系情况表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15"/>
        <w:gridCol w:w="4539"/>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与响应单位存在控股、管理关系的单位名称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控股、管理关系情况说明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注：磋商供应商须如实填写所有与之有控股、管理关系的情况。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color="auto"/>
      </w:pPr>
      <w:r>
        <w:rPr>
          <w:rFonts w:ascii="SimSun" w:hAnsi="SimSun" w:eastAsia="SimSun" w:cs="SimSun"/>
          <w:color w:val="000000"/>
          <w:sz w:val="21"/>
          <w:highlight w:val="none"/>
        </w:rPr>
        <w:br w:type="page" w:clear="all"/>
      </w:r>
      <w:r>
        <w:rPr>
          <w:rFonts w:ascii="SimSun" w:hAnsi="SimSun" w:eastAsia="SimSun" w:cs="SimSun"/>
          <w:color w:val="000000"/>
          <w:sz w:val="21"/>
          <w:highlight w:val="none"/>
        </w:rPr>
      </w:r>
      <w:r/>
    </w:p>
    <w:p>
      <w:pPr>
        <w:ind w:left="0" w:right="0" w:firstLine="0"/>
        <w:jc w:val="both"/>
        <w:spacing w:before="0" w:after="0" w:line="85" w:lineRule="atLeast"/>
        <w:tabs>
          <w:tab w:val="left" w:pos="3420" w:leader="none"/>
        </w:tabs>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1.如元路公交场站建设，属于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2.如元路公交场站建设，属于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企业名称（盖章）：</w:t>
      </w:r>
      <w:r/>
    </w:p>
    <w:p>
      <w:pPr>
        <w:ind w:left="0" w:right="0" w:firstLine="43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(6)响应保证承诺书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响应保证承诺书（格式）</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8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（项目名称和采购编号）</w:t>
      </w:r>
      <w:r>
        <w:rPr>
          <w:rFonts w:ascii="SimSun" w:hAnsi="SimSun" w:eastAsia="SimSun" w:cs="SimSun"/>
          <w:color w:val="000000"/>
          <w:sz w:val="21"/>
        </w:rPr>
        <w:t xml:space="preserve">的响应,并做出如下承诺：</w:t>
      </w:r>
      <w:r/>
    </w:p>
    <w:p>
      <w:pPr>
        <w:ind w:left="0" w:right="0" w:firstLine="8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一、除不可抗力外，我单位如果发生以下行为，将在行为发生的10个工作日内，向贵方支付本采购文件公布的预算金额的2%作为违约赔偿金（数量不确定的单价采购须约定具体金额）。</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1.自投标（响应）截止时间至本项目发布中标（成交）公告为止，撤销投标（响应）；</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2.中标（成交）后不依法与采购人签订合同；</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3.中标（成交）后不按本采购文件规定向贵方缴纳采购代理费。</w:t>
      </w:r>
      <w:r/>
    </w:p>
    <w:p>
      <w:pPr>
        <w:ind w:left="0" w:right="0" w:firstLine="8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二、我单位知晓上述行为的法律后果，承认本承诺书作为贵方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要求我单位履行违约赔偿义务的依据作用。</w:t>
      </w:r>
      <w:r/>
    </w:p>
    <w:p>
      <w:pPr>
        <w:ind w:left="208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响应人：               （盖公章）</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电子邮件：                                 </w:t>
      </w:r>
      <w:r/>
    </w:p>
    <w:p>
      <w:pPr>
        <w:ind w:left="0" w:right="0" w:firstLine="7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                               </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法定代表人或委托代理人（签章）：</w:t>
      </w:r>
      <w:r/>
    </w:p>
    <w:p>
      <w:pPr>
        <w:ind w:left="420" w:right="0" w:firstLine="21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hd w:val="nil" w:color="auto"/>
      </w:pPr>
      <w:r>
        <w:rPr>
          <w:rFonts w:ascii="SimSun" w:hAnsi="SimSun" w:eastAsia="SimSun" w:cs="SimSun"/>
          <w:b/>
          <w:color w:val="000000"/>
          <w:sz w:val="22"/>
          <w:highlight w:val="none"/>
        </w:rPr>
        <w:br w:type="page" w:clear="all"/>
      </w:r>
      <w:r>
        <w:rPr>
          <w:rFonts w:ascii="SimSun" w:hAnsi="SimSun" w:eastAsia="SimSun" w:cs="SimSun"/>
          <w:b/>
          <w:color w:val="000000"/>
          <w:sz w:val="22"/>
          <w:highlight w:val="none"/>
        </w:rPr>
      </w:r>
      <w:r/>
    </w:p>
    <w:p>
      <w:pPr>
        <w:ind w:left="0" w:right="0" w:firstLine="0"/>
        <w:jc w:val="both"/>
        <w:spacing w:before="0" w:after="0"/>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w:t>
      </w:r>
      <w:r>
        <w:rPr>
          <w:rFonts w:ascii="SimSun" w:hAnsi="SimSun" w:eastAsia="SimSun" w:cs="SimSun"/>
          <w:b/>
          <w:color w:val="000000"/>
          <w:sz w:val="22"/>
        </w:rPr>
        <w:t xml:space="preserve">商务条款偏离表、服务要求偏离表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供应商：采购编号∶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4290"/>
        <w:gridCol w:w="2387"/>
        <w:gridCol w:w="1344"/>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63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供应商：（加盖CA电子公章）</w:t>
      </w:r>
      <w:r/>
    </w:p>
    <w:p>
      <w:pPr>
        <w:ind w:left="0" w:right="0" w:firstLine="63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63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服务（技术）要求偏离表</w:t>
      </w:r>
      <w:r/>
    </w:p>
    <w:p>
      <w:pPr>
        <w:ind w:left="0" w:right="0" w:firstLine="63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                       采购编号∶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4"/>
        <w:gridCol w:w="1685"/>
        <w:gridCol w:w="1685"/>
        <w:gridCol w:w="1726"/>
        <w:gridCol w:w="1785"/>
        <w:gridCol w:w="1199"/>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63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供应商：（加盖CA电子公章）</w:t>
      </w:r>
      <w:r/>
    </w:p>
    <w:p>
      <w:pPr>
        <w:ind w:left="0" w:right="0" w:firstLine="63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注：1、供应商应对照采购文件中服务要求等，所投标的物与采购文件的规定有偏离的，应在此表中申明与技术要求条文的偏差和例外。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四、竞争性磋商文件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受苏州相城经济技术开发区管理委员会之委托，苏州公正建设咨询房地产评估有限公司对其需采购的如元路公交场站建设在国内组织竞争性磋商采购。欢迎符合资格条件的响应单位前来报名参加。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一、采购编号：JSZC-320507-SZGZ-C2025-0152</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二、项目名称：如元路公交场站建设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三、采购预算：人民币玖拾万捌仟肆佰伍拾柒元壹角肆分（ 908457.14元）</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最高限价：人民币玖拾万捌仟肆佰伍拾柒元壹角肆分（ 908457.14元）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1、采购方式：竞争性磋商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2、工期要求：180日历天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3、工程地点：苏州市相城区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5、项目质量要求：合格。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6、质保期限：二年，自工程竣工验收合格交付使用之日起算。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7、需说明的其他问题：</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（1）本工程仅计基本费、扬尘污染防治增加费，标化增加费及风险费未考虑；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（2）施工中用水、用电费用在投标报价中考虑；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（3）清单中工程量按招标图纸计算的暂定工程量，若项目特征描述无特别说明工程量计算规则，结算时按《建设工程工程量清单计价规范》(GB505-2013)、《市政工程工程量计算规范 》（GB50857-2013）执行；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单位应充分踏勘施工现场，包括对场地、施工作业困难等情况自行考虑。以上相应费用一并计入投标报价中，充分考虑施工难度，对于本工程使用的特殊机械设备及设备辅助费用一并报入措施费中，竣工结算不再调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（5）本工程中项目清单特征描述不详尽或不清楚的，请对照图纸或相应图集及规范自行考虑，相应工作内容的单价包含在综合单价中。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1、本工程项目根据《中华人民共和国政府采购法》及其实施条例等有关规定，按照现行法律、法规和部门规章，通过竞争性磋商方式，选定承包人。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2.1施工现场平整情况：</w:t>
      </w:r>
      <w:r>
        <w:rPr>
          <w:rFonts w:ascii="SimSun" w:hAnsi="SimSun" w:eastAsia="SimSun" w:cs="SimSun"/>
          <w:color w:val="000000"/>
          <w:sz w:val="21"/>
          <w:u w:val="single"/>
        </w:rPr>
        <w:t xml:space="preserve">现有原状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2.2场内外道路：</w:t>
      </w:r>
      <w:r>
        <w:rPr>
          <w:rFonts w:ascii="SimSun" w:hAnsi="SimSun" w:eastAsia="SimSun" w:cs="SimSun"/>
          <w:color w:val="000000"/>
          <w:sz w:val="21"/>
          <w:u w:val="single"/>
        </w:rPr>
        <w:t xml:space="preserve">已到位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2.3施工用水电：</w:t>
      </w:r>
      <w:r>
        <w:rPr>
          <w:rFonts w:ascii="SimSun" w:hAnsi="SimSun" w:eastAsia="SimSun" w:cs="SimSun"/>
          <w:color w:val="000000"/>
          <w:sz w:val="21"/>
          <w:u w:val="single"/>
        </w:rPr>
        <w:t xml:space="preserve">自行解决，费用由承包商承担，考虑在报价中。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3、发包范围：</w:t>
      </w:r>
      <w:r>
        <w:rPr>
          <w:rFonts w:ascii="SimSun" w:hAnsi="SimSun" w:eastAsia="SimSun" w:cs="SimSun"/>
          <w:color w:val="000000"/>
          <w:sz w:val="21"/>
          <w:u w:val="single"/>
        </w:rPr>
        <w:t xml:space="preserve">施工主要内容是对如元路公交场站建设等，具体以图纸、工程量清单说明为准。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4、磋商费用：磋商供应商承担其编制及递交响应文件的一切费用，无论结果如何，发包人对上述费用不负任何责任。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1、工程量清单计价编制依据：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（1）建设单位提供的相关资料；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（2）《建设工程量清单计价规范》（GB50500-2013）、《市政工程工程量计算规范 》（GB50857-2013）、《江苏省市政工程计价定额》（2014）、《江苏省建设工程费用定额》（2014）等；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（3）人工工资按江苏省住房和城乡建设厅文件苏建函价〔2025〕273号计取；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（4）建设工程主要材料价格按苏州信息价2025年8月份信息价及市场价计取；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（5）省市有关文件。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七、综合说明及其它要求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1、投标单位必须承诺磋商文件中提出的全部技术规格与要求，如果以其中某些条款不响应时，应在文件中逐条列出，未列出的视同响应。</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2、本项目需要配置项目负责人1名，项目组成员若干名。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3、中标单位项目负责人及专职安全员需常驻现场，项目负责人每月不少于22天全程常驻现场，专职安全员需要每天全程常驻现场。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施工期间，中标单位需与原房屋承租方保持良好沟通，秉持友好协商的原则，坚决避免任何形式的争执和纠纷，确保项目顺利推进。若因纠纷对招标人造成不良社会影响则视为违约，并应承担因此造成招标人的一切损失。</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5、因中标单位自身原因而导致的工程变更，中标单位无权要求追加合同价款及工期延长。</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6、工程竣工验收结束后，中标单位应该做到工完场清，如果施工便道等没有清理，则采购人有权委托其他单位拆除清理，具体费用从中标单位工程款中扣除，若采购人要求保留，则不予扣除中标单位费用。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7、根据江苏省财政厅《关于推动解决政府采购异常低价问题相关工作的通知》（苏财购〔2025〕62号）规定，政府采购异常低价审查：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（1）评审过程中出现下列情形之一的，评审委员会应当启动异常低价投标(响应)审查程序：</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①投标(响应)报价低于采购项目预算50%的，即投标(响应)报价＜采购项目预算×50%；</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②投标(响应)报价低于采购项目最高限价45%的，即投标(响应)报价＜采购项目最高限价×45%；</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③评审委员会认定的供应商报价过低、有可能影响产品质量或者不能诚信履约的其他情形。</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上述启动异常低价投标(响应)审查情形的，相关供应商应按评审委员会要求在评标现场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8、凡涉及磋商采购文件的补充说明和修改，均以苏州市政府采购网、江苏政府采购网上发布的通知为准。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五、合同主要条款</w:t>
      </w:r>
      <w:r/>
    </w:p>
    <w:p>
      <w:pPr>
        <w:ind w:left="0" w:right="0" w:firstLine="0"/>
        <w:jc w:val="center"/>
        <w:keepLines/>
        <w:spacing w:before="60" w:after="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第一部分</w:t>
      </w:r>
      <w:r>
        <w:rPr>
          <w:rFonts w:ascii="Arial" w:hAnsi="Arial" w:eastAsia="Arial" w:cs="Arial"/>
          <w:b/>
          <w:color w:val="000000"/>
          <w:sz w:val="28"/>
        </w:rPr>
        <w:t xml:space="preserve"> </w:t>
      </w:r>
      <w:r>
        <w:rPr>
          <w:rFonts w:ascii="SimHei" w:hAnsi="SimHei" w:eastAsia="SimHei" w:cs="SimHei"/>
          <w:b/>
          <w:color w:val="000000"/>
          <w:sz w:val="28"/>
        </w:rPr>
        <w:t xml:space="preserve">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发包人（全称）：苏州相城经济技术开发区管理委员会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rPr>
          <w:rFonts w:ascii="SimSun" w:hAnsi="SimSun" w:eastAsia="SimSun" w:cs="SimSun"/>
          <w:b/>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据《中华人民共和国民法典》、《中华人民共和国建筑法》及有关法律规定，遵循平等、自愿、公平和诚实信用的原则，双方就施工及有关事项协商一致，共同达成如下协议：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如元路公交场站建设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澄阳街道区域内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3.资金来源：</w:t>
      </w:r>
      <w:r>
        <w:rPr>
          <w:rFonts w:ascii="SimSun" w:hAnsi="SimSun" w:eastAsia="SimSun" w:cs="SimSun"/>
          <w:color w:val="000000"/>
          <w:sz w:val="21"/>
          <w:u w:val="single"/>
        </w:rPr>
        <w:t xml:space="preserve">财政拨款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4.工程内容：</w:t>
      </w:r>
      <w:r>
        <w:rPr>
          <w:rFonts w:ascii="SimSun" w:hAnsi="SimSun" w:eastAsia="SimSun" w:cs="SimSun"/>
          <w:b/>
          <w:color w:val="000000"/>
          <w:sz w:val="21"/>
          <w:u w:val="single"/>
        </w:rPr>
        <w:t xml:space="preserve">具体详见工程量清单</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5.工程承包范围：</w:t>
      </w:r>
      <w:r>
        <w:rPr>
          <w:rFonts w:ascii="SimSun" w:hAnsi="SimSun" w:eastAsia="SimSun" w:cs="SimSun"/>
          <w:color w:val="000000"/>
          <w:sz w:val="21"/>
          <w:u w:val="single"/>
        </w:rPr>
        <w:t xml:space="preserve">具体详见工程量清单及设计图纸。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2025年   月  </w:t>
      </w:r>
      <w:r>
        <w:rPr>
          <w:rFonts w:ascii="SimSun" w:hAnsi="SimSun" w:eastAsia="SimSun" w:cs="SimSun"/>
          <w:color w:val="000000"/>
          <w:sz w:val="21"/>
        </w:rPr>
        <w:t xml:space="preserve">日。（具体以发包人及监理批复的正式开工报告为准）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180日历天。自监理人发出的开工通知中载明的开工日期起算。具体进场施工时间以发包人的通知为准，承包人在接到发包人的书面通知后三日内必须进场施工。发包人有权根据工程实施情况适时调整开、竣工日期及节点工期，承包人应无条件满足发包人的要求，费用不予调整。工期总日历天数与根据前述计划开竣工日期计算的工期天数不一致的，以工期总日历天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  合格</w:t>
      </w:r>
      <w:r>
        <w:rPr>
          <w:rFonts w:ascii="SimSun" w:hAnsi="SimSun" w:eastAsia="SimSun" w:cs="SimSun"/>
          <w:color w:val="000000"/>
          <w:sz w:val="21"/>
        </w:rPr>
        <w:t xml:space="preserve">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元)；合同价包括但不限于分部分项费、措施项目费、其他项目费、规费、税金等各项费用。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固定单价合同</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变更按《苏州市相城区区级政府投资建设工程变更备案管理实施细则》（相政发（2019）8号）及苏州相城经济开发区相关文件执行。</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变更后的追加费用不得超过原合同金额的10%，超过部分财政部门不再安排资金。</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（3）本工程追加费用不得超过原合同金额的10%；原合同金额10%以内的追加费用，限于原合同内工程清单数量调整增加的工程费用，原合同外工程内容不得计入。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甲方向乙方支付合同金额的10%作为预付款（如乙方明确说明不需预付款的，甲方不予支付）。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五、项目经理</w:t>
      </w:r>
      <w:r/>
    </w:p>
    <w:p>
      <w:pPr>
        <w:ind w:left="4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本合同于年月日签订。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 苏州市相城区 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本合同自合同双方签字盖章之日起生效。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本合同一式8份，均具有同等法律效力，发包人执4份，承包人执2份，代理机构执2份。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  (公章)                 承包人：  (公章)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组织机构代码：组织机构代码：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邮政编码：邮政编码：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委托代理人：委托代理人：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账 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keepLines/>
        <w:spacing w:before="60" w:after="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第二部分通用条款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参照住建部、国家工商行政管理局《建设工程施工合同（示范文本）》（GF-2017-0201）第二部分。</w:t>
      </w:r>
      <w:r/>
    </w:p>
    <w:p>
      <w:pPr>
        <w:ind w:left="0" w:right="0" w:firstLine="0"/>
        <w:jc w:val="center"/>
        <w:keepLines/>
        <w:spacing w:before="60" w:after="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第三部分专用合同条款</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成交通知书、招标控制价、工程量清单、磋商文件、磋商响应文件，以及在履行合同过程中，双方具有相应权限的管理人员书面确认的对合同内容有实质性影响的会议纪要、签证、设计变更等资料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与监理一致</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按工程实际所需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 </w:t>
      </w:r>
      <w:r>
        <w:rPr>
          <w:rFonts w:ascii="SimSun" w:hAnsi="SimSun" w:eastAsia="SimSun" w:cs="SimSun"/>
          <w:color w:val="000000"/>
          <w:sz w:val="21"/>
          <w:u w:val="single"/>
        </w:rPr>
        <w:t xml:space="preserve">  按工程实际所需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 </w:t>
      </w:r>
      <w:r>
        <w:rPr>
          <w:rFonts w:ascii="SimSun" w:hAnsi="SimSun" w:eastAsia="SimSun" w:cs="SimSun"/>
          <w:color w:val="000000"/>
          <w:sz w:val="21"/>
          <w:u w:val="single"/>
        </w:rPr>
        <w:t xml:space="preserve">  按工程实际所需</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1.2法律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《中华人民共和国民法典》、《中华人民共和国建筑法》、《建设工程质量管理条例》、《中华人民共和国招标投标法》、 《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1）合同协议书；（2）成交通知书、（3）专用合同条款及其附件；（4）通用合同条款；（5）技术标准和要求；（6）图纸（如有）；（7）磋商文件（8）磋商响应文件及已标价工程量清单；（9）其他合同文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条】关于争议的约定处理。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1.4图纸和承包人文件</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与工程实施相关的开工报审表、施工组织设计、进度计划、质量安全措施等各类资料，并符合档案管理要求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开工报审表及相关附件为合同签订二日内；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是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已具备施工条件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施工所需的水、电、电讯线路、道路均已提供，相关费用由承包人承担</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经发包人授权并在授权范围内代表发包人行使业主权利，全面负责本工程的组织、协调和管理，签发或签署各种相关指令，报表及支付凭证，处理施工过程中的各有关事宜</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发包人应最迟于开工日期之前向承包人移交施工现场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在开工前提供施工用水水源和用电电源，场内铺设电路、水路由施工单位自理，施工用电用水费用由施工单位含在合同价中</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无</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否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承包人提交的竣工资料的内容：</w:t>
      </w:r>
      <w:r>
        <w:rPr>
          <w:rFonts w:ascii="SimSun" w:hAnsi="SimSun" w:eastAsia="SimSun" w:cs="SimSun"/>
          <w:color w:val="000000"/>
          <w:sz w:val="21"/>
          <w:u w:val="single"/>
        </w:rPr>
        <w:t xml:space="preserve">竣工验收合格后 60 日内，提供符合苏州市建设工程档案归档规范要求及苏州市城建档案馆要求的竣工资料肆套、竣工图肆套，提供符合竣工结算审计要求的相关资料,并提供符合档案及审计要求的电子档案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肆套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承包人自行承担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竣工验收合格后30天内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书面及电子均需要</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承包人应履行的其他义务：双方协商。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负责对项目施工过程中安全管理、成本控制、进度控制、质量控制，信息管理及与项目现场相关的组织协调工作</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不少于22天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3.2.2承包人未提交劳动合同，以及没有为项目经理缴纳社会保险证明的违约责任：</w:t>
      </w:r>
      <w:r>
        <w:rPr>
          <w:rFonts w:ascii="SimSun" w:hAnsi="SimSun" w:eastAsia="SimSun" w:cs="SimSun"/>
          <w:color w:val="000000"/>
          <w:sz w:val="21"/>
          <w:u w:val="single"/>
        </w:rPr>
        <w:t xml:space="preserve">承包人自行承担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3.2.4 承包人无正当理由拒绝更换项目经理的违约责任：</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满足相关要求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承包人主要施工管理人员离开施工现场的批准要求：承包人书面申请报监理工程师及发包人现场代表批准。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3.3.6承包人主要施工管理人员擅自离开施工现场的违约责任：</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按施工图及规范要求</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允许分包的专业工程包括：需书面申请经发包人书面确认。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开工之日起至工程竣工验收之日止</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监理人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关于监理人的监理内容：详见本项目监理合同，并符合相关规范规程等要求。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关于监理人的监理权限：详见本项目监理合同，并符合相关规范规程等要求。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关于监理人在施工现场的办公场所、生活场所的提供和费用承担的约定：承包人提供办公场所并承担费用(合同价包含此费用)。</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关于监理人的其他约定：详见本项目监理合同，并符合相关规范规程等要求。</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合格</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关于工程奖项的约定：实际施工质量比投标质量等级提高或评比相关优质工程均不计任何奖励及相关费用，降低按有关文件执行。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违约金具体标准详见附件四），造成的工期延误不予延长。行政机关给予的处罚另计。环境保护按苏建招﹝2010﹞10号文：关于在建设工程招标文件和施工合同中增加防止扬尘等要求的通知</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乙方应按规定做好安全防范措施，</w:t>
      </w:r>
      <w:r>
        <w:rPr>
          <w:rFonts w:ascii="SimSun" w:hAnsi="SimSun" w:eastAsia="SimSun" w:cs="SimSun"/>
          <w:color w:val="000000"/>
          <w:sz w:val="21"/>
          <w:u w:val="single"/>
        </w:rPr>
        <w:t xml:space="preserve">注意高压电线、电缆、管线、设备、灯具等可能带来施工安全隐患的问题，</w:t>
      </w:r>
      <w:r>
        <w:rPr>
          <w:rFonts w:ascii="SimSun" w:hAnsi="SimSun" w:eastAsia="SimSun" w:cs="SimSun"/>
          <w:color w:val="000000"/>
          <w:sz w:val="21"/>
        </w:rPr>
        <w:t xml:space="preserve">如因安全措施不到位而导致安全责任事故的，由乙方承担全部责任。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按项目所在地相关规定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按苏州市、相城区、相城经济开发区相关规定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同进度款支付。</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根据工程进度提供相应的进度计划书，单项工程必须分别编制详细施工计划，承包人应确保工程同时完成、同时验收、同时交付，并满足相关规范规程等要求</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发包人和监理人应在监理人收到施工组织设计后7天内确认或提出修改意见</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发包人和监理人应在收到修订的施工进度计划后7天内完成审核和批准或提出修改意见</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符合发包人进度要求</w:t>
      </w:r>
      <w:r>
        <w:rPr>
          <w:rFonts w:ascii="SimSun" w:hAnsi="SimSun" w:eastAsia="SimSun" w:cs="SimSun"/>
          <w:color w:val="000000"/>
          <w:sz w:val="21"/>
        </w:rPr>
        <w:t xml:space="preserve">。</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不影响进场施工</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符合发包人进度要求</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90 </w:t>
      </w:r>
      <w:r>
        <w:rPr>
          <w:rFonts w:ascii="SimSun" w:hAnsi="SimSun" w:eastAsia="SimSun" w:cs="SimSun"/>
          <w:color w:val="000000"/>
          <w:sz w:val="21"/>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开工前提供</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rPr>
          <w:rFonts w:ascii="SimSun" w:hAnsi="SimSun" w:eastAsia="SimSun" w:cs="SimSun"/>
          <w:color w:val="000000"/>
          <w:sz w:val="21"/>
          <w:u w:val="single"/>
        </w:rPr>
        <w:t xml:space="preserve">承包人应在接到发包人通知后一天内到达施工现场进行踏勘并制定实施方案，并应在发包人要求的时间内完成施工。若未按照发包人要求时间响应或未按照规定时间完成，处于2000元/天的违约金，违约金将在工程款金中扣除</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00"/>
          <w:sz w:val="21"/>
          <w:u w:val="single"/>
        </w:rPr>
        <w:t xml:space="preserve">所有的工期违约金累计最高不超过合同价的5%</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建设主管部门出具的书面确认函</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按国家相关规定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承包人提供并承担费用（合同价包含此费用）</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满足施工现场实际需求并符合相关规定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满足施工现场实际需求并符合相关规定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满足施工现场实际需求并符合相关规定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满足施工现场实际需求并符合相关规定</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发生变更、施工条件变化等，要由监理工程师、发包人同时确认方为有效；由于设计变更、现场签证、技术核定单等引起的新的工程量清单项目或清单项目工程数量的增减，其综合单价由承包人提出，经发包人及跟踪审计确认后，作为竣工结算依据；上述变更工程量与支付进度款同步。</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 </w:t>
      </w:r>
      <w:r>
        <w:rPr>
          <w:rFonts w:ascii="SimSun" w:hAnsi="SimSun" w:eastAsia="SimSun" w:cs="SimSun"/>
          <w:color w:val="000000"/>
          <w:sz w:val="21"/>
        </w:rPr>
        <w:t xml:space="preserve"> 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按苏州市相关规定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按发包人要求并符合相关规定</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不调整</w:t>
      </w:r>
      <w:r>
        <w:rPr>
          <w:rFonts w:ascii="SimSun" w:hAnsi="SimSun" w:eastAsia="SimSun" w:cs="SimSun"/>
          <w:color w:val="000000"/>
          <w:sz w:val="21"/>
        </w:rPr>
        <w:t xml:space="preserve">。</w:t>
      </w:r>
      <w:r/>
    </w:p>
    <w:p>
      <w:pPr>
        <w:ind w:left="39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11.2采购合同履行中，甲方需追加与合同标的相同的货物、工程或者服务的，在不改变合同其他条款的前提下，可以与供应商协商签订补充合同，但所有补充合同的采购金额不得超过原合同采购金额的百分之十。</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除专用条款11.1条约定的合同价款的调整因素外，综合单价不调整</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本工程不计取风险费用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按现行工程量计算规范</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按月计量</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1）承包人应于每月25日向监理人报送上月20日至当月19日已完成的工程量报告，并附具进度付款申请单、已完成工程量报表和有关资料。（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w:t>
      </w:r>
      <w:r>
        <w:rPr>
          <w:rFonts w:ascii="SimSun" w:hAnsi="SimSun" w:eastAsia="SimSun" w:cs="SimSun"/>
          <w:color w:val="000000"/>
          <w:sz w:val="21"/>
          <w:u w:val="single"/>
        </w:rPr>
        <w:t xml:space="preserve">工程量报表后5天内未完成审核的，承包人报送的工程量报告中的工程量视为计量依据，暂据此计算工程进度价款</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关于付款周期的约定：甲方向乙方支付合同金额的10%作为预付款（如乙方明确说明不需预付款的，甲方不予支付）。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按监理要求，并符合相关资料要求</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按监理及发包人要求，并符合相关资料要求</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每月的25日之前</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自监理单位批准之日起二日内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按建设单位相关程序</w:t>
      </w:r>
      <w:r>
        <w:rPr>
          <w:rFonts w:ascii="SimSun" w:hAnsi="SimSun" w:eastAsia="SimSun" w:cs="SimSun"/>
          <w:color w:val="000000"/>
          <w:sz w:val="21"/>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按项目实际进度</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1" w:right="0" w:firstLine="4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合同当事人应当在颁发工程接收证书后7天内完成工程的移交</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如承包人延误总工期，每延期一天按合同金额0.5%/天支付违约金，以延误天数累计，所有的工期违约金累计最高不超过合同价的5%</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按项目实际情况</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发包人</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发包人</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竣工验收合格后且不得影响发包人工作需求</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承包人应在工程竣工验收合格后60日内向发包人和监理人提交竣工结算申请资料</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竣工验收合格后60日内，提供符合苏州市建设工程档案归档规范要求及苏州市城建档案馆要求的竣工资料肆套、竣工图肆套，提供符合竣工结算审计要求的相关资料,并提供符合档案及审计要求的电子档案</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发包人应在收到监理人提交的经审核的完整竣工结算申请资料后按相关文件规定完成审批</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按建设单位相关要求</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缺陷责任期终止后按建设单位相关程序</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发包人应在收到承包人提交的最终结清申请单后按建设单位相关程序完成审批并向承包人颁发最终结清证书</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发包人应在颁发最终结清证书后按建设单位相关程序完成支付</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按国家相关规定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在工程项目竣工前，承包人按专用合同条款第3.7条提供履约担保的，发包人不得同时预留工程质量保证金。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结算审定金额的3</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详见质量保修书</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按国家相关规定</w:t>
      </w:r>
      <w:r>
        <w:rPr>
          <w:rFonts w:ascii="SimSun" w:hAnsi="SimSun" w:eastAsia="SimSun" w:cs="SimSun"/>
          <w:color w:val="000000"/>
          <w:sz w:val="21"/>
        </w:rPr>
        <w:t xml:space="preserve">。</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 </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a)承包人未能按期到场核查或维修的；</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b)承包人自接到保修通知之日起三日仍未给予回复的；</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c)连续两次维修仍未能解决问题，修补缺陷的；</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d)双方约定的其它情形。</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3)因承包人负责的设计、施工或提供的材料不符合合同要求，或由于承包人未能遵守合同约定而造成的工程缺陷，该部分工程的保修期重新计算。</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1050" w:right="0" w:hanging="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工期不顺延</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不支付违约金</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不支付违约金</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工期不顺延</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60</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按通用条款有关规定执行及专用条款相关约定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1）按通用条款有关规定执行及专用条款相关约定；（2）如承包人延误总工期，每延期一天按合同金额1%每天支付违约金，以延误天数累计，所有的工期违约金累计最高不超过合同价的5%。（3）由承包人负责对不合格工程进行整改或返工，直至验收合格，并承担一切费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按通用条款执行，再由双方协商</w:t>
      </w:r>
      <w:r>
        <w:rPr>
          <w:rFonts w:ascii="SimSun" w:hAnsi="SimSun" w:eastAsia="SimSun" w:cs="SimSun"/>
          <w:color w:val="000000"/>
          <w:sz w:val="21"/>
        </w:rPr>
        <w:t xml:space="preserve">。</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双方协商</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不可抗力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SimSun" w:hAnsi="SimSun" w:eastAsia="SimSun" w:cs="SimSun"/>
          <w:color w:val="000000"/>
          <w:sz w:val="21"/>
          <w:u w:val="single"/>
        </w:rPr>
        <w:t xml:space="preserve">按保险合同解释</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按通用条款说明</w:t>
      </w:r>
      <w:r>
        <w:rPr>
          <w:rFonts w:ascii="SimSun" w:hAnsi="SimSun" w:eastAsia="SimSun" w:cs="SimSun"/>
          <w:color w:val="000000"/>
          <w:sz w:val="21"/>
        </w:rPr>
        <w:t xml:space="preserve">天内完成款项的支付。</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保险</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承包人投保内容：按苏州市相城区有关工程保险规定，工程一切险和第三方责任险，由承包人办理，费用由承包人承担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承包人自行办理，并符合苏州相城区有关规定</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按相关规定</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149"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w:t>
      </w:r>
      <w:r>
        <w:rPr>
          <w:rFonts w:ascii="SimSun" w:hAnsi="SimSun" w:eastAsia="SimSun" w:cs="SimSun"/>
          <w:color w:val="000000"/>
          <w:sz w:val="21"/>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工程所在地</w:t>
      </w:r>
      <w:r>
        <w:rPr>
          <w:rFonts w:ascii="SimSun" w:hAnsi="SimSun" w:eastAsia="SimSun" w:cs="SimSun"/>
          <w:color w:val="000000"/>
          <w:sz w:val="21"/>
        </w:rPr>
        <w:t xml:space="preserve">人民法院起诉。</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21.补充条款</w:t>
      </w:r>
      <w:r>
        <w:rPr>
          <w:rFonts w:ascii="SimSun" w:hAnsi="SimSun" w:eastAsia="SimSun" w:cs="SimSun"/>
          <w:color w:val="000000"/>
          <w:sz w:val="21"/>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21.1本工程首席建造师 （仅适用于苏住建规【2014】5号文规定的政府投资的重大(重点)工程项目）：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首席建造师受施工单位委托，为项目施工总负责人，对工程项目的施工全工程实施管理。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其职责是：负责组建项目管理部，落实项目施工主体责任，确保按图施工及施工质量、生产 安全；做好施工组织和施工进度管理；配合做好工程各阶段的验收及竣工验收工作等。</w:t>
      </w: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合同补充条款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小额工程（预算在年度政府采购目录起点金额以上、公开招标数额以下的政府采购项目及国有企业参照采购规定的项目）：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1、本工程追加费用不得超过原合同金额的10%；原合同金额10%以内的追加费用，限于原合同内工程清单数量调整增加的工程费用，原合同外工程内容不得计入。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2、对实施后无法进行复核的施工内容，承包人必须留下可证明相应工程量的影像资料，结算时如无影像资料或提供资料无法反映相应的工作量，结算审核时有权按照有利于发包人的原则进行处理。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3、本工程采购文件的所有内容，是本合同必须遵守之条款，若其他书面文件产生与采购文件相悖的内容，采购文件的有关条款将得到优先执行。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协议书附件：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附件2：廉政合同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附件3：安全生产协议书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附件4：施工违约金标准</w:t>
      </w:r>
      <w:r/>
    </w:p>
    <w:p>
      <w:pPr>
        <w:ind w:left="0" w:right="0" w:firstLine="422"/>
        <w:keepLines/>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keepLines/>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b/>
          <w:color w:val="000000"/>
          <w:sz w:val="21"/>
          <w:u w:val="single"/>
        </w:rPr>
        <w:t xml:space="preserve">苏州相城经济技术开发区管理委员会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w:t>
      </w:r>
      <w:r>
        <w:rPr>
          <w:rFonts w:ascii="SimSun" w:hAnsi="SimSun" w:eastAsia="SimSun" w:cs="SimSun"/>
          <w:color w:val="000000"/>
          <w:sz w:val="21"/>
          <w:u w:val="single"/>
        </w:rPr>
        <w:t xml:space="preserve">                </w:t>
      </w:r>
      <w:r>
        <w:rPr>
          <w:rFonts w:ascii="SimSun" w:hAnsi="SimSun" w:eastAsia="SimSun" w:cs="SimSun"/>
          <w:color w:val="000000"/>
          <w:sz w:val="21"/>
        </w:rPr>
        <w:t xml:space="preserve">（工程全称）签订工程质量保修书。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按合同承包范围内容</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   5     </w:t>
      </w:r>
      <w:r>
        <w:rPr>
          <w:rFonts w:ascii="SimSun" w:hAnsi="SimSun" w:eastAsia="SimSun" w:cs="SimSun"/>
          <w:color w:val="000000"/>
          <w:sz w:val="21"/>
        </w:rPr>
        <w:t xml:space="preserve">年；</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     2    </w:t>
      </w:r>
      <w:r>
        <w:rPr>
          <w:rFonts w:ascii="SimSun" w:hAnsi="SimSun" w:eastAsia="SimSun" w:cs="SimSun"/>
          <w:color w:val="000000"/>
          <w:sz w:val="21"/>
        </w:rPr>
        <w:t xml:space="preserve">个采暖期、供冷期；</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   /      </w:t>
      </w:r>
      <w:r>
        <w:rPr>
          <w:rFonts w:ascii="SimSun" w:hAnsi="SimSun" w:eastAsia="SimSun" w:cs="SimSun"/>
          <w:color w:val="000000"/>
          <w:sz w:val="21"/>
        </w:rPr>
        <w:t xml:space="preserve">年；</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本工程质量保修期为贰年，但不免除国家规定的保修责任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质量保修期自工程竣工验收合格之日起计算。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    24     </w:t>
      </w:r>
      <w:r>
        <w:rPr>
          <w:rFonts w:ascii="SimSun" w:hAnsi="SimSun" w:eastAsia="SimSun" w:cs="SimSun"/>
          <w:color w:val="000000"/>
          <w:sz w:val="21"/>
        </w:rPr>
        <w:t xml:space="preserve">个月，缺陷责任期自工程竣工验收合格之日起计算。单位工程先于全部工程进行验收，单位工程缺陷责任期自单位工程验收合格之日起算。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四、质量保修责任</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六、双方约定的其他工程质量保修事项：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本工程约定的工程质量保修金为工程结算审定价款的</w:t>
      </w:r>
      <w:r>
        <w:rPr>
          <w:rFonts w:ascii="SimSun" w:hAnsi="SimSun" w:eastAsia="SimSun" w:cs="SimSun"/>
          <w:color w:val="000000"/>
          <w:sz w:val="21"/>
          <w:u w:val="single"/>
        </w:rPr>
        <w:t xml:space="preserve">  3   </w:t>
      </w:r>
      <w:r>
        <w:rPr>
          <w:rFonts w:ascii="SimSun" w:hAnsi="SimSun" w:eastAsia="SimSun" w:cs="SimSun"/>
          <w:color w:val="000000"/>
          <w:sz w:val="21"/>
        </w:rPr>
        <w:t xml:space="preserve">%,发包人在质量保修期满后14天内，将剩余保修金返还承包人。</w:t>
      </w:r>
      <w:r/>
    </w:p>
    <w:p>
      <w:pPr>
        <w:ind w:left="0" w:right="0" w:firstLine="3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w:t>
      </w:r>
      <w:r>
        <w:rPr>
          <w:rFonts w:ascii="SimSun" w:hAnsi="SimSun" w:eastAsia="SimSun" w:cs="SimSun"/>
          <w:color w:val="000000"/>
          <w:sz w:val="21"/>
        </w:rPr>
        <w:t xml:space="preserve">                           承包人(公章)：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地址：</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                                  账号：</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single"/>
        </w:rPr>
        <w:t xml:space="preserve"> </w:t>
      </w:r>
      <w:r/>
    </w:p>
    <w:p>
      <w:pPr>
        <w:ind w:left="0" w:right="0" w:firstLine="0"/>
        <w:jc w:val="both"/>
        <w:keepLines/>
        <w:spacing w:before="0" w:after="0" w:line="85" w:lineRule="atLeast"/>
        <w:pBdr>
          <w:top w:val="none" w:color="000000" w:sz="4" w:space="0"/>
          <w:left w:val="none" w:color="000000" w:sz="4" w:space="0"/>
          <w:bottom w:val="none" w:color="000000" w:sz="4" w:space="0"/>
          <w:right w:val="none" w:color="000000" w:sz="4" w:space="0"/>
        </w:pBdr>
      </w:pPr>
      <w:r>
        <w:br/>
      </w:r>
      <w:r/>
    </w:p>
    <w:p>
      <w:pPr>
        <w:ind w:left="0" w:right="0" w:firstLine="0"/>
        <w:jc w:val="both"/>
        <w:keepLines/>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keepLines/>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附件2：廉政责任书格式</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建设工程廉政责任书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苏州相城经济技术开发区管理委员会 </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1.1应严格遵守国家关于建设工程的有关法律、法规，相关政策，以及廉政建设的各项规定。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1.2严格执行建设工程合同文件，自觉按合同办事。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1.3各项活动必须坚持公开、公平、公正、诚信、透明的原则(除法律法规另有规定者外)，不得为获取不正当的利益，损害国家、集体和对方利益，不得违反建设工程管理的规章制度。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1.4发现对方在业务活动中有违规、违纪、违法行为的，应及时提醒对方，情节严重的，应向其上级主管部门或纪检监察、司法等有关机关举报。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二、发包人责任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发包人的领导和从事该建设工程项目的工作人员，在工程建设的事前、事中、事后应遵守以下规定：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2.1不得向承包人和相关单位索要或接受回扣、礼金、有价证券、贵重物品和好处费、感谢费等。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2.2不得在承包人和相关单位报销任何应由发包人或个人支付的费用。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2.3不得要求、暗示或接受承包人和相关单位为个人装修住房、婚丧嫁娶、配偶子女的工作安排以及出国(境)、旅游等提供方便。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2.4不得参加有可能影响公正执行公务的承包人和相关单位的宴请、健身、娱乐等活动。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2.5不得向承包人和相关单位介绍或为配偶、子女、亲属参与同发包人工程建设管理合同有关的业务活动；不得以任何理由要求承包人和相关单位使用某种产品、材料和设备。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三、承包人责任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应与发包人保持正常的业务交往，按照有关法律法规和程序开展业务工作，严格执行工程建设的有关方针、政策，执行工程建设强制性标准，并遵守以下规定：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3.1不得以任何理由向发包人及其工作人员索要、接受或赠送礼金、有价证券、贵重物品及回扣、好处费、感谢费等。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3.2不得以任何理由为发包人和相关单位报销应由对方或个人支付的费用。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3.3不得接受或暗示为发包人、相关单位或个人装修住房、婚丧嫁娶、配偶子女的工作安排以及出国(境)、旅游等提供方便。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3.4不得以任何理由为发包人、相关单位或个人组织有可能影响公正执行公务的宴请、健身、娱乐等活动。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4.1发包人工作人员有违反本责任书第一、二条责任行为的，依据有关法律、法规给予处理；涉嫌犯罪的，移交司法机关追究刑事责任；给承包人单位造成经济损失的，应予以赔偿。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4.2承包人工作人员有违反本责任书第一、三条责任行为的，依据有关法律法规处理；涉嫌犯罪的，移交司法机关追究刑事责任；给发包人单位造成经济损失的，应予以赔偿。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4.3本责任书作为建设工程合同的组成部分，与建设工程合同具有同等法律效力。经双方签署后立即生效。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五、责任书有效期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本责任书的有效期为双方签署之日起至该工程项目竣工验收合格时止。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六、责任书份数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本责任书一式</w:t>
      </w:r>
      <w:r>
        <w:rPr>
          <w:rFonts w:ascii="SimSun" w:hAnsi="SimSun" w:eastAsia="SimSun" w:cs="SimSun"/>
          <w:color w:val="000000"/>
          <w:sz w:val="21"/>
          <w:u w:val="single"/>
        </w:rPr>
        <w:t xml:space="preserve"> 8 </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 4 </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 2 </w:t>
      </w:r>
      <w:r>
        <w:rPr>
          <w:rFonts w:ascii="SimSun" w:hAnsi="SimSun" w:eastAsia="SimSun" w:cs="SimSun"/>
          <w:color w:val="000000"/>
          <w:sz w:val="21"/>
        </w:rPr>
        <w:t xml:space="preserve">份，招标代理机构执</w:t>
      </w:r>
      <w:r>
        <w:rPr>
          <w:rFonts w:ascii="SimSun" w:hAnsi="SimSun" w:eastAsia="SimSun" w:cs="SimSun"/>
          <w:color w:val="000000"/>
          <w:sz w:val="21"/>
          <w:u w:val="single"/>
        </w:rPr>
        <w:t xml:space="preserve"> 2 </w:t>
      </w:r>
      <w:r>
        <w:rPr>
          <w:rFonts w:ascii="SimSun" w:hAnsi="SimSun" w:eastAsia="SimSun" w:cs="SimSun"/>
          <w:color w:val="000000"/>
          <w:sz w:val="21"/>
        </w:rPr>
        <w:t xml:space="preserve">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w:t>
      </w:r>
      <w:r>
        <w:rPr>
          <w:rFonts w:ascii="SimSun" w:hAnsi="SimSun" w:eastAsia="SimSun" w:cs="SimSun"/>
          <w:color w:val="000000"/>
          <w:sz w:val="21"/>
        </w:rPr>
        <w:t xml:space="preserve">(公章)    承包人：</w:t>
      </w:r>
      <w:r>
        <w:rPr>
          <w:rFonts w:ascii="SimSun" w:hAnsi="SimSun" w:eastAsia="SimSun" w:cs="SimSun"/>
          <w:color w:val="000000"/>
          <w:sz w:val="21"/>
          <w:u w:val="single"/>
        </w:rPr>
        <w:t xml:space="preserve">                     </w:t>
      </w:r>
      <w:r>
        <w:rPr>
          <w:rFonts w:ascii="SimSun" w:hAnsi="SimSun" w:eastAsia="SimSun" w:cs="SimSun"/>
          <w:color w:val="000000"/>
          <w:sz w:val="21"/>
        </w:rPr>
        <w:t xml:space="preserve"> (公章)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法定地址：</w:t>
      </w:r>
      <w:r>
        <w:rPr>
          <w:rFonts w:ascii="SimSun" w:hAnsi="SimSun" w:eastAsia="SimSun" w:cs="SimSun"/>
          <w:color w:val="000000"/>
          <w:sz w:val="21"/>
          <w:u w:val="single"/>
        </w:rPr>
        <w:t xml:space="preserve">                   </w:t>
      </w:r>
      <w:r>
        <w:rPr>
          <w:rFonts w:ascii="SimSun" w:hAnsi="SimSun" w:eastAsia="SimSun" w:cs="SimSun"/>
          <w:color w:val="000000"/>
          <w:sz w:val="21"/>
        </w:rPr>
        <w:t xml:space="preserve">          法定地址：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法定代表人或其法定代表人或其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(签字)    委托代理人：</w:t>
      </w:r>
      <w:r>
        <w:rPr>
          <w:rFonts w:ascii="SimSun" w:hAnsi="SimSun" w:eastAsia="SimSun" w:cs="SimSun"/>
          <w:color w:val="000000"/>
          <w:sz w:val="21"/>
          <w:u w:val="single"/>
        </w:rPr>
        <w:t xml:space="preserve">                 </w:t>
      </w:r>
      <w:r>
        <w:rPr>
          <w:rFonts w:ascii="SimSun" w:hAnsi="SimSun" w:eastAsia="SimSun" w:cs="SimSun"/>
          <w:color w:val="000000"/>
          <w:sz w:val="21"/>
        </w:rPr>
        <w:t xml:space="preserve"> (签字)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rPr>
          <w:rFonts w:ascii="SimSun" w:hAnsi="SimSun" w:eastAsia="SimSun" w:cs="SimSun"/>
          <w:color w:val="000000"/>
          <w:sz w:val="21"/>
          <w:u w:val="single"/>
        </w:rPr>
        <w:t xml:space="preserve">                   </w:t>
      </w:r>
      <w:r>
        <w:rPr>
          <w:rFonts w:ascii="SimSun" w:hAnsi="SimSun" w:eastAsia="SimSun" w:cs="SimSun"/>
          <w:color w:val="000000"/>
          <w:sz w:val="21"/>
        </w:rPr>
        <w:t xml:space="preserve">          电子邮箱：</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w:t>
      </w:r>
      <w:r>
        <w:rPr>
          <w:rFonts w:ascii="SimSun" w:hAnsi="SimSun" w:eastAsia="SimSun" w:cs="SimSun"/>
          <w:color w:val="000000"/>
          <w:sz w:val="21"/>
          <w:u w:val="single"/>
        </w:rPr>
        <w:t xml:space="preserve">                       </w:t>
      </w:r>
      <w:r>
        <w:rPr>
          <w:rFonts w:ascii="SimSun" w:hAnsi="SimSun" w:eastAsia="SimSun" w:cs="SimSun"/>
          <w:color w:val="000000"/>
          <w:sz w:val="21"/>
        </w:rPr>
        <w:t xml:space="preserve">          帐号：</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p>
    <w:p>
      <w:pPr>
        <w:ind w:left="0" w:right="0" w:firstLine="0"/>
        <w:keepLines/>
        <w:spacing w:before="260" w:after="260" w:line="85" w:lineRule="atLeast"/>
        <w:pBdr>
          <w:top w:val="none" w:color="000000" w:sz="4" w:space="0"/>
          <w:left w:val="none" w:color="000000" w:sz="4" w:space="0"/>
          <w:bottom w:val="none" w:color="000000" w:sz="4" w:space="0"/>
          <w:right w:val="none" w:color="000000" w:sz="4" w:space="0"/>
        </w:pBdr>
      </w:pPr>
      <w:r>
        <w:br/>
      </w:r>
      <w:r/>
    </w:p>
    <w:p>
      <w:pPr>
        <w:ind w:left="0" w:right="0" w:firstLine="0"/>
        <w:keepLines/>
        <w:spacing w:before="260" w:after="26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keepLines/>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附件3：安全生产协议书</w:t>
      </w:r>
      <w:r/>
    </w:p>
    <w:p>
      <w:pPr>
        <w:ind w:left="0" w:right="0" w:firstLine="0"/>
        <w:jc w:val="center"/>
        <w:keepLines/>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安全生产协议书</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发包人（甲方）：</w:t>
      </w:r>
      <w:r>
        <w:rPr>
          <w:rFonts w:ascii="SimSun" w:hAnsi="SimSun" w:eastAsia="SimSun" w:cs="SimSun"/>
          <w:b/>
          <w:color w:val="000000"/>
          <w:sz w:val="21"/>
          <w:u w:val="single"/>
        </w:rPr>
        <w:t xml:space="preserve">   苏州相城经济技术开发区管理委员会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承包人（乙方）：</w:t>
      </w:r>
      <w:r>
        <w:rPr>
          <w:rFonts w:ascii="SimSun" w:hAnsi="SimSun" w:eastAsia="SimSun" w:cs="SimSun"/>
          <w:b/>
          <w:color w:val="000000"/>
          <w:sz w:val="21"/>
          <w:u w:val="single"/>
        </w:rPr>
        <w:t xml:space="preserve">                                 </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依照《中华人民共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工程概况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工程名称：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工程地点：</w:t>
      </w:r>
      <w:r>
        <w:rPr>
          <w:rFonts w:ascii="SimSun" w:hAnsi="SimSun" w:eastAsia="SimSun" w:cs="SimSun"/>
          <w:color w:val="000000"/>
          <w:sz w:val="21"/>
          <w:u w:val="single"/>
        </w:rPr>
        <w:t xml:space="preserve">                 </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乙方资质及安全生产条件：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乙方应对承揽本工程所提供的资质、安全生产资格证书、安全生产条件等有关资料真实性负责。</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现场负责人及安全生产管理人员：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乙方指定本工程项目经理为现场负责人，并落实专职安全生产管理人员。　　　　</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甲方的责任和权利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1、甲方应要求乙方制定施工安全措施，在开始施工前报甲方备案。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3、甲方指派本工程监理单位及总监理工程师负责与乙方联系安全生产方面的工作。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施工中发生的人身、财产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5、甲方不得要求乙方违反安全管理规定进行施工。因甲方原因导致的事故由甲方承担责任。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乙方的责任和权利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1、乙方负责人是安全生产的第一责任人，对本工程的安全生产负全责。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2、乙方的安全目标应与甲方总体安全目标相一致。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3、乙方应当具备《中华人民共和国安全生产法》和有关法律、行政法规和国家标准或者行业标准规定的安全生产条件；不具备安全生产条件的，不得承包本工程。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4、乙方单位的主要负责人对本单位安全生产工作负有下列职责：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（1）建立、健全本单位安全生产责任制；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（2）建立健全安全生产保证体系及安全组织机构，设立专职安全生产管理人员，建立健全现场安全责任制和消防安全责任制度。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（3）组织制定本单位安全生产规章  制度和操作规程；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（4）组织制定并实施本单位安全生产教育和培训计划；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（5）保证本单位安全生产投入的有效实施；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（6）督促、检查本单位的安全生产工作，及时消除生产安全事故隐患；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（7）组织制定并实施本单位的生产安全事故应急救援预案；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（8）及时、如实报告生产安全事故。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5、严格执行甲方的安全生产管理制度及甲方的质量、职业健康安全、环境管理体系标准。遵守国家有关法律、法规、国家标准或行业标准和安全技术操作规程。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7、乙方应当具备安全生产条件所必需的资金投入，由乙方单位的决策机构、主要负责人或者个人经营的投资人予以保证，并对由于安全生产所必需的资金不足导致的后果承担责任。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8、乙方的项目负责人、专职安全生产管理人员和特种作业人员应按照国家有关规定经过相关培训，取得相应资格，并在现有的资质等级许可的范围内承揽工程。持岗位证上岗。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9、乙方单位的安全管理机构以及安全生产管理人员履行下列职责：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（1）组织或者参与拟订本项目安全生产规章制度、操作规程和生产安全事故应急救援预案；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（2）组织或者参与本项目安全生产教育和培训，如实记录安全生产教育和培训情况；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（3）督促落实本项目重大危险源的安全管理措施；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（4）组织或者参与本项目应急救援演练；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（5）检查本项目的安全生产状况，及时排查生产安全事故隐患，提出改进安全生产管理的建议；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（6）制止和纠正违章指挥、强令冒险作业、违反操作规程的行为；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（7）督促落实本项目安全生产整改措施。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12、乙方应当在有较大危险因素的生产经营场所和有关设施、设备上，设置明显的安全警示标志。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13、乙方必须依法参加工伤保险，为从业人员缴纳保险费，为从事危险作业的人员办理意外伤害保险，支付保险费，并将保单复印件交给甲方备查。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15、施工过程中对人的不安全行为，物的不安全状态，作业环境的不安全因素和管理缺陷进行控制。严格按照安全施工要求进行施工，杜绝强令员工冒险作业和违章作业现象出现。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16、乙方施工现场的安全控制由乙方单位负责人负责。服从监理人、发包人、建设单位对施工现场的安全管理。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17、乙方不得将生产经营项目、场所、设备发包或者出租给不具备安全生产条件或者相应资质的单位或者个人。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18、按部颁JGJ59-99标准要求对施工现场进行有效控制。如有严重违反JGJ59-99标准保证项目条款，甲方单位有权提出停工并罚款。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19、平时进行安全检查，对安全隐患及时整改。对甲方单位签发的安全检查整改通知单应无条件地整改。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20、乙方有权对甲方的安全管理提出合理化建议。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21、每月在规定的时间内及时向甲方上报各种安全统计数据。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22、乙方所使用的安全防护用品（如安全帽、安全带、防护胶等）必须是按照国家规范采购的合格用品，并将安全防护用品合格证报给甲方备案。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24、乙方在施工中必须加强安全管理，由于管理不到位造成负面影响，乙方将承担全部责任，并承担由此给甲方造成的名誉及经济损失。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25、如果乙方不遵守本合同条款，甲方将取消其承包人资格，不再继续与其合作。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26、乙方必须遵守职业病防治相关的法律法规规定，制定职业危害防治措施管理规定。指定职业卫生管理机构或组织，配备专兼职职业危害防治负责人负责职业危害防治工作。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27、乙方必须针对高坠、触电、粉尘、生产性毒物、噪音、振动、光污染等可能出现的危害因素制定防治措施。并指定专人负责。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28、乙方必须为员工配备合格的职业卫生防护用品。</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施工安全违约金 </w:t>
      </w:r>
      <w:r/>
    </w:p>
    <w:p>
      <w:pPr>
        <w:ind w:left="284"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若施工过程中发生安全事故，乙方除承担相应的经济赔偿责任及其它法律责任外，如因此给甲方增加额外工作的，甲方有权扣除乙方应得工程款3%以内的金额作为安全违约金。</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其他</w:t>
      </w:r>
      <w:r/>
    </w:p>
    <w:p>
      <w:pPr>
        <w:ind w:left="284"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1、本合同签订后，未经双方共同协商同意，任何一方不得私自改动或终止。</w:t>
      </w:r>
      <w:r/>
    </w:p>
    <w:p>
      <w:pPr>
        <w:ind w:left="284"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2、本合同与工程合同具有同等效力，有效期自工程开工至全部工程完工后经交工验收合格，以及期满有发包人发给保修终止证书后失效。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3、合同履行过程中发生争议时，双方应协商解决，如果协商不成，任何一方可以向工程所在地人民法院提起诉讼。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4、本合同自双方签字盖章后生效。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5、本合同一式肆份，甲、乙双方各执贰份。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发包方(公章)：                     承  包  方(公章)：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                      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委托代理人：(签字)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年月日日期：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其委托代理人：</w:t>
      </w:r>
      <w:r/>
    </w:p>
    <w:p>
      <w:pPr>
        <w:ind w:left="783" w:right="0" w:hanging="783"/>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 </w:t>
      </w:r>
      <w:r/>
    </w:p>
    <w:p>
      <w:pPr>
        <w:ind w:left="783" w:right="0" w:hanging="783"/>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施工违约金标准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经竣工验收合格后，承包人应在45天内向委托的工程造价咨询机构移交全部结算资料，全部结算资料移交后不得再行增补结算资料，因结算资料不全引起的结算造价的误差由承包人承担，超过45天移交结算资料的承包人，承担相应的违约责任并支付违约金。违约金的计算，按逾期天数累计计算，每逾期一天承担2000元的违约金，该项违约金总额不超过10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2、所有发包人向承包人收取的违约金或承包人向发包人支付的违约金，无需承包人同意，发包人可以直接从承包人的工程进度款中扣除。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在项目管理过程中将执行现场问题通知单制度，对现场存在的问题，以通知单形式通知监理单位，由监理单位督促承包人进行整改处理外，逾期未按要求处理的，发包人将向承包人追加收取违约金，直至处理符合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道路保洁和养护: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扣除承包人人民币5000 元/次违约金。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 1%的违约金，并有权在应付承包人的工程款中将相关款项扣除。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6、竣工资料验收要求：工程验收30天内提供完整的竣工资料，承包人必须提供竣工资料纸质按档案管理要求编制，电子档一份，每拖延一天扣除违约金 5000元。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7、其他违规处罚明细表见下：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违规处罚明细 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承包人(或监理人)在施工过程中出现下列违规现象时，发包人将从承包人的到期款项或快到期款项中扣除。具体标准见下：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施工前不对有关人员认真进行技术、安全交底5000元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使用不合格的材料或构件、材料使用未经报验强行使用2000元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对监理发出的整改通知单，无正当理由又不及时整改者 2000元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对监理发出的通知单，不及时回复的500元/次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工序未经监理工程师批准且通知后不做整改而强行进行下道工序施工2000元/次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未经监理工程师认可强行隐蔽2000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经监理验收通过的检验批质量不合格 200元/次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发生工程质量事故 5000元/次、一般安全事故 10万元/次、较大以上安全事故50万元/次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出现工程质量事故和安全事故有意隐瞒不报者10000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发生质量事故未经设计单位和监理同意自行处理 2000元/次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工程质量保证资料有意作假2000元/次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故意偷工减料5000～10000元/次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当现场问题较严重且监理处理不力或监理工作出现问题时，发包人或管理公司将发出通知单要求整改，当出现该情形时5000元/次，逾期未按要求处理加罚5000元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进入施工现场不戴安全帽200元/人次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在非指定吸烟区吸烟或在施工工作面发现烟蒂50元/人次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现场材料乱堆乱放200元/次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对施工作业区内的“四口、五临边”未设防护栏，脚手架护栏、挡脚板防护不到位，架体内外未设平防护网等安全隐患 200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严重施工质量缺陷 2000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高空作业不系安全带 200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临时围墙、大门破损 500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施工现场、生活区(办公室、宿舍、厨房及厕所等)卫生差或私拉乱接电线200元/次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脚手架搭设明显存在安全隐患2000元/次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高空抛物1000元/次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未在规定时间内完成业主或监理口头或书面下达的指令500元/次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安全网和安全设施陈旧破损或绑扎不牢固 500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将不合格材料与未经认可的材料用于工程 2000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对工地例会、工地专题会议、特别召开的会议未经请假批准迟到或未参加会议的 迟到 50 元/次，未参加100元/次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施工现场文明卫生差致投诉的 5000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因现场管理不善被报刊、电视台等媒体曝光 5000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  发生斗殴、侵害当地居民利益的事件二次及以上的 3000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因降尘、防噪措施不到位招致沿线单位市民投诉 5000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因保洁或养护不到位招致投诉 5000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未履行成品保护义务，导致成品损坏的 500 元/次并负责赔偿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对发包方或监理发出的指令不按期完成，造成节点进度延误的合同价的万分之三/天计取。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违规处罚明细 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施工现场特殊工种操作人员(包括但不限于电焊工、塔吊驾驶员、升降机驾驶员等)必须按要求全部执证上岗，项目部应加强对现场特殊工种的管理，发包人将不定期对现场进行检查，若发现违反上本条规定，发包人将向承包人收取违约金 1000元/人•次。无国家有关部门颁发的相关操作证上岗的，扣违约金 2000元/次。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将发包人支付的工程款专项用于本工程建设，不得进行挪用、转移或外借，应及时支付本工程设备、材料款项、分包款项、民工工资，并督促落实分包单位按时支付民工工资。如发现承包人对工程款进行挪用、转移或外借等的，或未及时支付本工程设备、材料款项、分包款项、民工工资，或未督促落实分包单位按时支付民工工资的，发包人有权暂停本工程工程款支付，追究承包人违约责任，直至承包人改正为止，其中：对于承包人转移、挪用、外借本工程建设资金的，发包人有权要求承包人限期（10天）改正，收回相关款项等，逾期承包人未能执行的，除承</w:t>
      </w:r>
      <w:r>
        <w:rPr>
          <w:rFonts w:ascii="SimSun" w:hAnsi="SimSun" w:eastAsia="SimSun" w:cs="SimSun"/>
          <w:color w:val="000000"/>
          <w:sz w:val="21"/>
        </w:rPr>
        <w:t xml:space="preserve">包人仍应负责收回相关款项外，发包人还有权要求承包人按转移、挪用、外借资金额的 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承担违约金。对于承包人拖欠设备、材料款项、分包款项、民工工资，或者对分包人监管不力导致民工工资无法按时得到支付，造成民工集中上访、围堵等类似事件发生的，发包人有权暂停支付工程款，直至该类事件得到有效解决，必要时发包人有权视情况自行决定向相关方代为支付设备、材料款项、分包款项、民工工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上述承包人不正当行为(拖欠设备、材料款项、分包款项、民工工资等债务纠纷，或在现场产生上访、围堵公害等等)，从而给发包人造成不便、或影响公众形象的，每发生一次，视情况严重程度，承包人还应向发包人支付人民币2-10万元的违约金作为对给发包人造成的不便、增加的工作的赔偿。即使这种不正当行为是在合格竣工日之后发生。若违约金不足以弥补给发包人造成的不便、增加的工作量、延误的工期所造成的损失的，承包人还应赔偿违约金不足发包人损失的金额，发包人有权从承包人的工程款中扣除。在工程施工过程中，发包人现场代表或监理工程师如</w:t>
      </w:r>
      <w:r>
        <w:rPr>
          <w:rFonts w:ascii="SimSun" w:hAnsi="SimSun" w:eastAsia="SimSun" w:cs="SimSun"/>
          <w:color w:val="000000"/>
          <w:sz w:val="21"/>
        </w:rPr>
        <w:t xml:space="preserve">发现承包人有本条及本合同其他条款中规定违约情况，应由发包人现场代表或总监作出书面处罚决定，并在下一次支付工程款项时直接扣除。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未按要求进行质量安全技术交底或交底手续不全；未按时提交安全管理文件(如施工组织设计、脚手架、塔吊、升降机等机械设备、临电、临时消防等施工方案、应急救援预案)并经批准，擅自入场作业的；或审批不合要求，未按批准的专项技术措施方案的内容进行落实的；未根据实际情况及时修订或增补专项技术措施方案，并继续施工的扣违约金 10000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工地范围须设置安全生产、工程质量宣传工作牌：如无“施工区域责任牌”、“文明施工告示牌”、“安全操作规程”、“重大危险源告示牌”等；在主要施工部位、作业点、危险区、通道口设置安全宣传标语及安全警示牌。未按施工组织设计或者规范要求，设置相应的安全标语或标识；不按照相关要求设置安全标识牌的；未按总平面图布置临时设施扣违约金 1000元/处。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(5)如承包人违反施工和安全操作规程在收到监理书面通知单，未按要求整改到位的，发包人将向承包人收取违约金 5000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(6)电箱：必须是有资质的厂商生产地合格产品，并有中国国家强制性产品认证证书(3C 认证)。厚度符合规范要求(1.2mm，1.5mm)电箱的漏电保护器必须灵敏有效，接地线和接地极符合规范要求，插座应为 IP44 防水等级以上；所有临时电缆必须用电缆支架按一定得距离悬空安装，离地 2.2 米以上;各级配电箱内的均应可以牢固上锁。二级和三级配电箱应安装外置、防水的工业级插座(一般，220V 为三插头、380V 为五插头)，二级配电箱至末端开关箱、末端开关箱至用电工具之间应使用工业级插头与外置式插座配合使用，不得</w:t>
      </w:r>
      <w:r>
        <w:rPr>
          <w:rFonts w:ascii="SimSun" w:hAnsi="SimSun" w:eastAsia="SimSun" w:cs="SimSun"/>
          <w:color w:val="000000"/>
          <w:sz w:val="21"/>
        </w:rPr>
        <w:t xml:space="preserve">直接将导线接在配电箱或开关箱内接电。固定式开关箱和配电箱中心点离地面的垂直距离为 1.4~1.6m，移动式开关箱和配电箱中心点离地面的垂直距离为 0.8~1.6。电箱要有外置紧急关停按钮；配电箱箱门上应张贴验收合格标识、触电应急处理流程、“检查表”，并每日记录检查结果，检查项中必须包括漏电保护器的检查。临时用电满足 TN-S 系统，三相五线制、做到三级配电和三级保护供电，按规定设立零线和接地线。各种配电设备均设有防止漏电和防雨防水设施。电箱必须按照相关要求进行点检，张贴防止触电标识，触电处理流程，电工及管理</w:t>
      </w:r>
      <w:r>
        <w:rPr>
          <w:rFonts w:ascii="SimSun" w:hAnsi="SimSun" w:eastAsia="SimSun" w:cs="SimSun"/>
          <w:color w:val="000000"/>
          <w:sz w:val="21"/>
        </w:rPr>
        <w:t xml:space="preserve">人员联系方式等。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手持用电机具、交流电焊机必须有二次空载降压保护装置，漏电保护器必须灵敏有效，必须经过验收，贴上验收标识，建议使用直流电焊机。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以上要求每发现不合格的，除要求立即整改外，扣违约金 2000元/处。验收再次出现不合格的，扣除违约金 10000元/处。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气瓶：在使用前要安装合适的压力标准仪，氧气装置要和石油以及油脂隔离，不能用油腻的手或手套去接触气瓶。每套供气系统中，在压力调节器下游，要直接安装一个阻(回)火器，压缩气瓶的阀门应经常关闭和用保护帽。压缩气瓶要经常提供缓冲环，储存在符合规范的地方，远离过多热度和不受移动设备和凋落物品的撞击；软管和割把的所有接头，以及软管和调节器的接头均要用软管带扎紧，在使用之前要使用肥皂溶液进行泄漏测试(每套气瓶配备一瓶肥皂溶液)。在所有工作停止时，气瓶阀门必需关闭，断开气瓶连接物和接管之前要进行强制的眼睛保护；如果用</w:t>
      </w:r>
      <w:r>
        <w:rPr>
          <w:rFonts w:ascii="SimSun" w:hAnsi="SimSun" w:eastAsia="SimSun" w:cs="SimSun"/>
          <w:color w:val="000000"/>
          <w:sz w:val="21"/>
        </w:rPr>
        <w:t xml:space="preserve">起重机、升降器传送时，压缩气瓶要被放置在一个合适的框架或罐箱里，不能用绳、纤维线、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或吊索链，也不能拖拉。气瓶的储存地应高出地面，且易于空气流通，并有清楚地标志。空的和满的压缩气瓶不能混合在一起。要做记号分开放置，气瓶必须垂直向上放置，同时有保护帽的阀门要关上。氧气瓶和燃气瓶或易燃的原料必须保持至少十米的距离或两米高的隔断墙，隔断墙至少要有半小时的耐火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所有气瓶上的永久标记应包括：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1)最近检查的日期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2)检查的气压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3)气瓶重量包括持久的装置但不包括阀门盖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4)产品的名字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5)要求的危险提示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以上要求每发现不合格的，除要求立即整改外，扣违约金 2000元/处。验收再次出现不合格的，扣除违约金10000元/处。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消防：施工现场通道、临设等必须严格执行建设工程施工现场消防安全技术规范。所有压力设备和系统均要配备安全阀门或减压阀门和压力表。安全阀的安装应以不超过工作压力的110％为宜。安全阀、减压阀排出的气流和排气口的方向要避开人群。除在维修期间外，不能移开安全用具或装置。当该系统最弱部分的压力超过所允许最大的工作压力时，在卸压前，空气压缩机应当自动停止，在空气软管的各个出口要安装一个止动阀；当改变某个附件时，或者在维修工作进展过程中，空气软管上的止动阀应当关闭。开始工作之前，要打开空气接受器上的泄油阀，将油排放</w:t>
      </w:r>
      <w:r>
        <w:rPr>
          <w:rFonts w:ascii="SimSun" w:hAnsi="SimSun" w:eastAsia="SimSun" w:cs="SimSun"/>
          <w:color w:val="000000"/>
          <w:sz w:val="21"/>
        </w:rPr>
        <w:t xml:space="preserve">干净。任何压力设备或系统，一旦检测出不安全因素，要张贴上“维修中”、“禁止使用”的牌子。在不安全调价整改完之前，禁止使用这种设备。消防设施不完善，存在安全隐患；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施工现场、大临设施未按规定数量配置消防器材，并设消防安全标识，扣违约金 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项目部必须加强对劳务工人的安全、施工技能培训，并做好所有培训的资料整理、归档工作，发包人将不定期对承包人执行培训情况的考核、抽查。工人没有经过三级教育、安全技术交底即上岗工作，交底资料不齐全、签字不全或代签，扣违约金 1000 元/人次。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(10)重大危险作业(动火作业、吊装作业、挖土作业、受限空间作业等)时，无安全监护人员，扣违约金1000元/次。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现场电线、电缆未按规范敷设，施工用电存在安全隐患；未做到三级配电二级保护；配电箱周围有易燃易爆物品；无临电巡检、定检记录；宿舍内乱接乱拉电线、使用电炉、电饭煲，冬季使用大功率取暖设备的扣违约金1000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(12)无动火审批手续动火的，或在易燃易爆物周围动火无防护措施的，扣违约金 1000 元/次。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(13)机械加工设备无安全防护装置的扣违约金1000元。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(14)现场油漆、柴油、乙炔钢瓶、氧气钢瓶等危险物品无专用存放；乙炔、氧气瓶有曝晒、倒置、平使、沾油、无回火装置、压力表损坏、工作间距小于5米或距离明火小于 10 米的，扣违约金1000元/项。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擅自在建筑物内住人(发包人同意除外)；进入施工现场吸烟；进入施工现场不戴安全帽；未按规定正确穿戴个人劳保用品，包括供货商人员和特种作业人员防护用品等，扣违约金1000元/人。建议配备基本劳保为安全帽、反光背心、安全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施工用电线直接从插座内取电；钢筋作业场、施工现场，机械设备的电线乱拖乱拉；现场电缆线不能满足要求未进行架空或埋设；各类用电设备无保护接零或接地；用非电热器进行取暖、保温、加热，现场使用铝制压板式碘钨灯；现场使用塑料护套线等扣违约金 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(17)一箱多用、混用、使用不标准电箱、却防护、缺巡视记录、接地接零不规范、松动、混接，扣违约金1000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(18)各类机械设备未经监理安全验收合格投入使用；加工机械布置混乱，无防护罩(棚)；各类施工机械带病运转、保洁差；无巡检无保养，扣违约金 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(19)吊装作业违反“十不吊”要求，起重、吊装作业中，吊具、索具不符合安全规范要求，扣违约金 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(20)脚手架搭设明显存在安全隐患；脚手架及各种安全防护未组织验收、未挂合格牌投入使用；擅自拆除脚手架防护设施，扣违约金 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无保护的高空抛物；防护设施拆除不报告，无监护、不复位，设施未养护、维修、警告警示标志不齐全，扣违约金 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(22)安全网空洞，楼梯、电梯井口、通道口无围栏；洞口及临边缺设施，围护简易、洞口封闭不坚固不严实，无吊装区域措施，无防坠措施，扣违约金 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(23)2米以上高处作业未提供合格的防坠落系统或未正确系戴安全带；作业点无安全的作业平台、无安全的进出方式；作业平台未按照标准搭设，如脚手架跳板，扣违约金 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(24)施工便道未硬化，严重积水；施工现场无车辆冲洗设施；土方运输因泥土散落对社会造成严重影响，而未及时采取措施，扣违约金 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(25)未按照相关规定设置足够的施工照明、通道照明设施，或设置不符安全要求，包括局部空间照明、夜间施工照明，1000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(26)承包人未指定专人负责办公区、施工区、厕所的环境卫生，随时清扫，未能在现场维持每日良好的文明施工；在工地内随意堆放施工废物和垃圾; 作业面材料、工具摆放混乱，未及时清理废弃物；在现场焚烧杂物、建筑垃圾、生活垃圾及其他废弃物；随意倾倒垃圾对施工区域和公共区域造成污染的，1000 元/处。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(27)由于承包人措施不当、管理不力而造成现场停电，导致工程发生质量事故的，由此造成的一切直接和间接的经济损失将由承包人承担，且每发生一次停电事故的发包人将给予承包人5000 元罚款，并对造成的发包人损失承担赔偿责任。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(28)承包人因未配备足够的场容工和清洁车辆导致现场不符合省文明工地标准，处以 1000元/次的罚款。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(29)其他分包人进场后，承包人一周内仍未与其签订安全生产协议，处以2000元/天的罚款。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(30)未按要求完成电梯安装配合工作，处以20000 元/次的罚款。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(31)因承包人原因导致发包人办公区域断网，处以 3000 元/天的罚款，并对造成的发包人损失承担赔偿责任。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(32)承包人不得将未经发包人书面确认的材料送入现场，一经发现，不论是否应用于本工程，都处以10000元/次的罚款。如承包人未在发包人规定的时限内清退不合格材料，还将处以5000元/天的罚款，工期不予顺延。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(33)工程竣工验收合格后，承包人须在一个月内将所有档案资料送交档案馆，送交完成后在两周内完善所有资料，逾期未完成的，处以 1000 元/天的罚款。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(34)其他</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临时围墙、大门破损 2000 元/处</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未经监理人验收即进行下一步施工 2000 元/次</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严重施工质量缺陷(除常规处理外) 2000 元/处×次</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未经发包人同意擅自分包，处以 10 万元/次，并 3 日内撤场。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擅自使用招标文件规定以外的品牌材料 50000 元/次</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偷工减料，弄虚作假，不按图纸和规范施工10000元/次，并由承包人整改完毕。（可累计罚金处罚）</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项目经理不作为(项目经理不管现场具体事务，对现场问题不与发包人、监理及其他承包人及时、主动沟通与协调。) 10000 元/次</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承包人逾期撤场，则承包人向发包人按 20000 元/天支付逾期违约金。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（如遇罚款金额不一致的条款，按价格高执行。）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32"/>
        </w:rPr>
        <w:t xml:space="preserve"> </w:t>
      </w:r>
      <w:r/>
    </w:p>
    <w:p>
      <w:pPr>
        <w:ind w:left="0" w:right="-340" w:firstLine="0"/>
        <w:jc w:val="center"/>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34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六、技术要求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一、现行国家技术、施工及验收规范规程，对施工工艺的特殊要求，按国家有关规定执行。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二、其他技术要求及主要材料品牌表。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三、工程量清单、图纸。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工程量清单、图纸等资料请发邮件至代理机构领取，邮箱：</w:t>
      </w:r>
      <w:r>
        <w:rPr>
          <w:rFonts w:ascii="DengXian" w:hAnsi="DengXian" w:eastAsia="DengXian" w:cs="DengXian"/>
          <w:color w:val="000000"/>
          <w:sz w:val="21"/>
        </w:rPr>
        <w:t xml:space="preserve">3268569262@qq.com</w:t>
      </w:r>
      <w:r>
        <w:rPr>
          <w:rFonts w:ascii="SimSun" w:hAnsi="SimSun" w:eastAsia="SimSun" w:cs="SimSun"/>
          <w:color w:val="000000"/>
          <w:sz w:val="21"/>
        </w:rPr>
        <w:t xml:space="preserve">。</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32"/>
        </w:rPr>
        <w:t xml:space="preserve">七</w:t>
      </w:r>
      <w:r>
        <w:rPr>
          <w:rFonts w:ascii="SimSun" w:hAnsi="SimSun" w:eastAsia="SimSun" w:cs="SimSun"/>
          <w:b/>
          <w:color w:val="000000"/>
          <w:sz w:val="44"/>
        </w:rPr>
        <w:t xml:space="preserve">、</w:t>
      </w:r>
      <w:r>
        <w:rPr>
          <w:rFonts w:ascii="SimSun" w:hAnsi="SimSun" w:eastAsia="SimSun" w:cs="SimSun"/>
          <w:b/>
          <w:color w:val="000000"/>
          <w:sz w:val="32"/>
        </w:rPr>
        <w:t xml:space="preserve">评审办法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一、评审办法</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1、本次磋商采用综合评分法，即在响应文件满足采购文件全部实质性要求且按评审因素的量化指标评审得分最高的供应商为成交供应商。</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2、评审小组各成员独立对每个进入打分程序的有效磋商供应商的响应文件技术和资质部分以打分的形式进行评审和评价。 </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3、对评委的评分进行统计汇总，直接算术平均计算得分，计算出每个磋商供应商的得分，加上价格得分即为每个磋商供应商的综合得分。 </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4、如磋商供应商存在“苏财购（2017）11号”文件中所列的失信或不良行为，按照文件规定执行。</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5、如出现评审总得分最高的磋商供应商有两个或两个以上的，以磋商报价较低者优先作为成交候选人，如果磋商报价也相同的，则由采购人组织以抽签方式确定成交候选人。</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6、关于对参与供应商信用记录的政府采购要求</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采购代理机构会在接收投标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6.3供应商若在经营活动中受到罚款的，请携带相关地方、部门对较大数额认定标准的证明材料，与投标文件一并提交。若无法提供，则可能承担投标无效等相应不利后果。</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6.4对存在失信信息的供应商，由失信供应商应签名确认。同时，采购代理机构工作人员应根据评审小组确认的失信信息，登陆到相关来源网站页面进行复核并打印，作为证据留存。</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7、针对中小型企业的评审：</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w:t>
      </w:r>
      <w:r>
        <w:rPr>
          <w:rFonts w:ascii="SimSun" w:hAnsi="SimSun" w:eastAsia="SimSun" w:cs="SimSun"/>
          <w:color w:val="000000"/>
          <w:sz w:val="21"/>
        </w:rPr>
        <w:t xml:space="preserve">最低价的，则作为评审基准价，成交金额则以实际响应报价为准。残疾人福利性单位属于小型、微型企业的，不重复享受政策。</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525"/>
        <w:jc w:val="both"/>
        <w:spacing w:before="0" w:after="0" w:line="40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①填报“中小企业声明函”需严格按“工信部联企业〔2011〕300号通知中的《中小企业划型标准规定》进行。</w:t>
      </w:r>
      <w:r/>
    </w:p>
    <w:p>
      <w:pPr>
        <w:ind w:left="0" w:right="0" w:firstLine="525"/>
        <w:jc w:val="both"/>
        <w:spacing w:before="0" w:after="0" w:line="360" w:lineRule="auto"/>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②若供应商提供的声明函或认定证明为虚假材料，按“政府采购法”相关规定处理并报请政府监管部门给予行政处罚。</w:t>
      </w:r>
      <w:r/>
    </w:p>
    <w:p>
      <w:pPr>
        <w:ind w:left="0" w:right="0" w:firstLine="435"/>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③本项目为专门面向中小企业采购的项目或者采购包，不再执行价格评审优惠的扶持政策。</w:t>
      </w:r>
      <w:r/>
    </w:p>
    <w:p>
      <w:pPr>
        <w:ind w:left="0" w:right="-153"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8、关于推动解决政府采购异常低价问题相关工作</w:t>
      </w:r>
      <w:r/>
    </w:p>
    <w:p>
      <w:pPr>
        <w:ind w:left="0" w:right="-153"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（1）评审过程中出现下列情形之一的，评审委员会应当启动异常低价投标（响应）审查程序:</w:t>
      </w:r>
      <w:r/>
    </w:p>
    <w:p>
      <w:pPr>
        <w:ind w:left="0" w:right="-153"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1.1.投标（响应）报价低于采购项目预算50%的，即投标（响应）报价&lt;采购项目预算*50%；</w:t>
      </w:r>
      <w:r/>
    </w:p>
    <w:p>
      <w:pPr>
        <w:ind w:left="0" w:right="-153"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1.2.投标（响应）报价低于采购项目最高限价45%的，即投标（响应）报价&lt;采购项目最高限价*45%；</w:t>
      </w:r>
      <w:r/>
    </w:p>
    <w:p>
      <w:pPr>
        <w:ind w:left="0" w:right="-153"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1.3.评审委员会认定的供应商报价过低、有可能影响产品质量或者不能诚信履约的其他情形。</w:t>
      </w:r>
      <w:r/>
    </w:p>
    <w:p>
      <w:pPr>
        <w:ind w:left="0" w:right="-153" w:firstLine="42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二、评分标准</w:t>
      </w:r>
      <w:r/>
    </w:p>
    <w:p>
      <w:pPr>
        <w:ind w:left="0" w:right="105"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（一）报价得分（10分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磋商总报价低于或等于最高限价的，为有效磋商报价。超最高限价的投标报价为无效响应报价。无效响应报价的响应文件不得中标。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价格分采用低价优先法计算，即满足磋商文件要求且响应价格最低的磋商报价为评标基准价，其价格分为满分10分。其他供应商的价格分统一按照下列公式计算：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磋商报价得分=（评标基准价/磋商报价）*价格权值*100，小数点后保留两位（价格权值为10%）。</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（二）施工组织设计（63分）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、总体概述：工程概述、总体安排及施工部署及施工段划分等健全、合理、规范、高效性（</w:t>
      </w:r>
      <w:r>
        <w:rPr>
          <w:rFonts w:ascii="Calibri" w:hAnsi="Calibri" w:eastAsia="Calibri" w:cs="Calibri"/>
          <w:color w:val="000000"/>
          <w:sz w:val="21"/>
        </w:rPr>
        <w:t xml:space="preserve">10</w:t>
      </w:r>
      <w:r>
        <w:rPr>
          <w:rFonts w:ascii="SimSun" w:hAnsi="SimSun" w:eastAsia="SimSun" w:cs="SimSun"/>
          <w:color w:val="000000"/>
          <w:sz w:val="21"/>
        </w:rPr>
        <w:t xml:space="preserve">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总体概述科学合理、规范全面、高效便捷、实施简单、针对性强的得</w:t>
      </w:r>
      <w:r>
        <w:rPr>
          <w:rFonts w:ascii="Calibri" w:hAnsi="Calibri" w:eastAsia="Calibri" w:cs="Calibri"/>
          <w:color w:val="000000"/>
          <w:sz w:val="21"/>
        </w:rPr>
        <w:t xml:space="preserve">10</w:t>
      </w:r>
      <w:r>
        <w:rPr>
          <w:rFonts w:ascii="SimSun" w:hAnsi="SimSun" w:eastAsia="SimSun" w:cs="SimSun"/>
          <w:color w:val="000000"/>
          <w:sz w:val="21"/>
        </w:rPr>
        <w:t xml:space="preserve">分；总体概述科学合理、规范全面、高效便捷的得</w:t>
      </w:r>
      <w:r>
        <w:rPr>
          <w:rFonts w:ascii="Calibri" w:hAnsi="Calibri" w:eastAsia="Calibri" w:cs="Calibri"/>
          <w:color w:val="000000"/>
          <w:sz w:val="21"/>
        </w:rPr>
        <w:t xml:space="preserve">6</w:t>
      </w:r>
      <w:r>
        <w:rPr>
          <w:rFonts w:ascii="SimSun" w:hAnsi="SimSun" w:eastAsia="SimSun" w:cs="SimSun"/>
          <w:color w:val="000000"/>
          <w:sz w:val="21"/>
        </w:rPr>
        <w:t xml:space="preserve">分；总体概述科学合理的得</w:t>
      </w:r>
      <w:r>
        <w:rPr>
          <w:rFonts w:ascii="Calibri" w:hAnsi="Calibri" w:eastAsia="Calibri" w:cs="Calibri"/>
          <w:color w:val="000000"/>
          <w:sz w:val="21"/>
        </w:rPr>
        <w:t xml:space="preserve">3</w:t>
      </w:r>
      <w:r>
        <w:rPr>
          <w:rFonts w:ascii="SimSun" w:hAnsi="SimSun" w:eastAsia="SimSun" w:cs="SimSun"/>
          <w:color w:val="000000"/>
          <w:sz w:val="21"/>
        </w:rPr>
        <w:t xml:space="preserve">分；有涉及但不全面的得</w:t>
      </w:r>
      <w:r>
        <w:rPr>
          <w:rFonts w:ascii="Calibri" w:hAnsi="Calibri" w:eastAsia="Calibri" w:cs="Calibri"/>
          <w:color w:val="000000"/>
          <w:sz w:val="21"/>
        </w:rPr>
        <w:t xml:space="preserve">1</w:t>
      </w:r>
      <w:r>
        <w:rPr>
          <w:rFonts w:ascii="SimSun" w:hAnsi="SimSun" w:eastAsia="SimSun" w:cs="SimSun"/>
          <w:color w:val="000000"/>
          <w:sz w:val="21"/>
        </w:rPr>
        <w:t xml:space="preserve">分；其他不得分。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、施工总进度计划：关于本工程施工进度计划的描述，以及为完成该计划所定措施科学、合理、规范、高效性（</w:t>
      </w:r>
      <w:r>
        <w:rPr>
          <w:rFonts w:ascii="Calibri" w:hAnsi="Calibri" w:eastAsia="Calibri" w:cs="Calibri"/>
          <w:color w:val="000000"/>
          <w:sz w:val="21"/>
        </w:rPr>
        <w:t xml:space="preserve">10</w:t>
      </w:r>
      <w:r>
        <w:rPr>
          <w:rFonts w:ascii="SimSun" w:hAnsi="SimSun" w:eastAsia="SimSun" w:cs="SimSun"/>
          <w:color w:val="000000"/>
          <w:sz w:val="21"/>
        </w:rPr>
        <w:t xml:space="preserve">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施工总进度计划科学合理、规范全面、高效便捷、实施简单、针对性强的得</w:t>
      </w:r>
      <w:r>
        <w:rPr>
          <w:rFonts w:ascii="Calibri" w:hAnsi="Calibri" w:eastAsia="Calibri" w:cs="Calibri"/>
          <w:color w:val="000000"/>
          <w:sz w:val="21"/>
        </w:rPr>
        <w:t xml:space="preserve">10</w:t>
      </w:r>
      <w:r>
        <w:rPr>
          <w:rFonts w:ascii="SimSun" w:hAnsi="SimSun" w:eastAsia="SimSun" w:cs="SimSun"/>
          <w:color w:val="000000"/>
          <w:sz w:val="21"/>
        </w:rPr>
        <w:t xml:space="preserve">分；施工总进度计划科学合理、规范全面、高效便捷的得</w:t>
      </w:r>
      <w:r>
        <w:rPr>
          <w:rFonts w:ascii="Calibri" w:hAnsi="Calibri" w:eastAsia="Calibri" w:cs="Calibri"/>
          <w:color w:val="000000"/>
          <w:sz w:val="21"/>
        </w:rPr>
        <w:t xml:space="preserve">6</w:t>
      </w:r>
      <w:r>
        <w:rPr>
          <w:rFonts w:ascii="SimSun" w:hAnsi="SimSun" w:eastAsia="SimSun" w:cs="SimSun"/>
          <w:color w:val="000000"/>
          <w:sz w:val="21"/>
        </w:rPr>
        <w:t xml:space="preserve">分；施工总进度计划科学合理的得</w:t>
      </w:r>
      <w:r>
        <w:rPr>
          <w:rFonts w:ascii="Calibri" w:hAnsi="Calibri" w:eastAsia="Calibri" w:cs="Calibri"/>
          <w:color w:val="000000"/>
          <w:sz w:val="21"/>
        </w:rPr>
        <w:t xml:space="preserve">3</w:t>
      </w:r>
      <w:r>
        <w:rPr>
          <w:rFonts w:ascii="SimSun" w:hAnsi="SimSun" w:eastAsia="SimSun" w:cs="SimSun"/>
          <w:color w:val="000000"/>
          <w:sz w:val="21"/>
        </w:rPr>
        <w:t xml:space="preserve">分；有涉及但不全面的得</w:t>
      </w:r>
      <w:r>
        <w:rPr>
          <w:rFonts w:ascii="Calibri" w:hAnsi="Calibri" w:eastAsia="Calibri" w:cs="Calibri"/>
          <w:color w:val="000000"/>
          <w:sz w:val="21"/>
        </w:rPr>
        <w:t xml:space="preserve">1</w:t>
      </w:r>
      <w:r>
        <w:rPr>
          <w:rFonts w:ascii="SimSun" w:hAnsi="SimSun" w:eastAsia="SimSun" w:cs="SimSun"/>
          <w:color w:val="000000"/>
          <w:sz w:val="21"/>
        </w:rPr>
        <w:t xml:space="preserve">分；其他不得分。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、分部、分项工程的施工方案：该工程分部分项工程的施工方案、具体施工技术措施科学、合理、操作性强、规范、高效（</w:t>
      </w:r>
      <w:r>
        <w:rPr>
          <w:rFonts w:ascii="Calibri" w:hAnsi="Calibri" w:eastAsia="Calibri" w:cs="Calibri"/>
          <w:color w:val="000000"/>
          <w:sz w:val="21"/>
        </w:rPr>
        <w:t xml:space="preserve">10</w:t>
      </w:r>
      <w:r>
        <w:rPr>
          <w:rFonts w:ascii="SimSun" w:hAnsi="SimSun" w:eastAsia="SimSun" w:cs="SimSun"/>
          <w:color w:val="000000"/>
          <w:sz w:val="21"/>
        </w:rPr>
        <w:t xml:space="preserve">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该分部、分项工程的施工方案科学合理、规范全面、高效便捷、实施简单、针对性强的得</w:t>
      </w:r>
      <w:r>
        <w:rPr>
          <w:rFonts w:ascii="Calibri" w:hAnsi="Calibri" w:eastAsia="Calibri" w:cs="Calibri"/>
          <w:color w:val="000000"/>
          <w:sz w:val="21"/>
        </w:rPr>
        <w:t xml:space="preserve">10</w:t>
      </w:r>
      <w:r>
        <w:rPr>
          <w:rFonts w:ascii="SimSun" w:hAnsi="SimSun" w:eastAsia="SimSun" w:cs="SimSun"/>
          <w:color w:val="000000"/>
          <w:sz w:val="21"/>
        </w:rPr>
        <w:t xml:space="preserve">分；方案科学合理、规范全面、高效便捷的得</w:t>
      </w:r>
      <w:r>
        <w:rPr>
          <w:rFonts w:ascii="Calibri" w:hAnsi="Calibri" w:eastAsia="Calibri" w:cs="Calibri"/>
          <w:color w:val="000000"/>
          <w:sz w:val="21"/>
        </w:rPr>
        <w:t xml:space="preserve">6</w:t>
      </w:r>
      <w:r>
        <w:rPr>
          <w:rFonts w:ascii="SimSun" w:hAnsi="SimSun" w:eastAsia="SimSun" w:cs="SimSun"/>
          <w:color w:val="000000"/>
          <w:sz w:val="21"/>
        </w:rPr>
        <w:t xml:space="preserve">分；方案科学合理的得</w:t>
      </w:r>
      <w:r>
        <w:rPr>
          <w:rFonts w:ascii="Calibri" w:hAnsi="Calibri" w:eastAsia="Calibri" w:cs="Calibri"/>
          <w:color w:val="000000"/>
          <w:sz w:val="21"/>
        </w:rPr>
        <w:t xml:space="preserve">3</w:t>
      </w:r>
      <w:r>
        <w:rPr>
          <w:rFonts w:ascii="SimSun" w:hAnsi="SimSun" w:eastAsia="SimSun" w:cs="SimSun"/>
          <w:color w:val="000000"/>
          <w:sz w:val="21"/>
        </w:rPr>
        <w:t xml:space="preserve">分；有涉及但不全面的得</w:t>
      </w:r>
      <w:r>
        <w:rPr>
          <w:rFonts w:ascii="Calibri" w:hAnsi="Calibri" w:eastAsia="Calibri" w:cs="Calibri"/>
          <w:color w:val="000000"/>
          <w:sz w:val="21"/>
        </w:rPr>
        <w:t xml:space="preserve">1</w:t>
      </w:r>
      <w:r>
        <w:rPr>
          <w:rFonts w:ascii="SimSun" w:hAnsi="SimSun" w:eastAsia="SimSun" w:cs="SimSun"/>
          <w:color w:val="000000"/>
          <w:sz w:val="21"/>
        </w:rPr>
        <w:t xml:space="preserve">分；其他不得分。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、安全文明施工措施：该工程安全文明施工、施工现场扬尘污染防治措施及环境保护方面的措施科学、合理、操作性强、规范、高效（</w:t>
      </w:r>
      <w:r>
        <w:rPr>
          <w:rFonts w:ascii="Calibri" w:hAnsi="Calibri" w:eastAsia="Calibri" w:cs="Calibri"/>
          <w:color w:val="000000"/>
          <w:sz w:val="21"/>
        </w:rPr>
        <w:t xml:space="preserve">10</w:t>
      </w:r>
      <w:r>
        <w:rPr>
          <w:rFonts w:ascii="SimSun" w:hAnsi="SimSun" w:eastAsia="SimSun" w:cs="SimSun"/>
          <w:color w:val="000000"/>
          <w:sz w:val="21"/>
        </w:rPr>
        <w:t xml:space="preserve">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施工方案及安全文明施工措施科学合理、规范全面、高效便捷、实施简单、针对性强的得</w:t>
      </w:r>
      <w:r>
        <w:rPr>
          <w:rFonts w:ascii="Calibri" w:hAnsi="Calibri" w:eastAsia="Calibri" w:cs="Calibri"/>
          <w:color w:val="000000"/>
          <w:sz w:val="21"/>
        </w:rPr>
        <w:t xml:space="preserve">10</w:t>
      </w:r>
      <w:r>
        <w:rPr>
          <w:rFonts w:ascii="SimSun" w:hAnsi="SimSun" w:eastAsia="SimSun" w:cs="SimSun"/>
          <w:color w:val="000000"/>
          <w:sz w:val="21"/>
        </w:rPr>
        <w:t xml:space="preserve">分；方案科学合理、规范全面、高效便捷的得</w:t>
      </w:r>
      <w:r>
        <w:rPr>
          <w:rFonts w:ascii="Calibri" w:hAnsi="Calibri" w:eastAsia="Calibri" w:cs="Calibri"/>
          <w:color w:val="000000"/>
          <w:sz w:val="21"/>
        </w:rPr>
        <w:t xml:space="preserve">6</w:t>
      </w:r>
      <w:r>
        <w:rPr>
          <w:rFonts w:ascii="SimSun" w:hAnsi="SimSun" w:eastAsia="SimSun" w:cs="SimSun"/>
          <w:color w:val="000000"/>
          <w:sz w:val="21"/>
        </w:rPr>
        <w:t xml:space="preserve">分；方案科学合理的得</w:t>
      </w:r>
      <w:r>
        <w:rPr>
          <w:rFonts w:ascii="Calibri" w:hAnsi="Calibri" w:eastAsia="Calibri" w:cs="Calibri"/>
          <w:color w:val="000000"/>
          <w:sz w:val="21"/>
        </w:rPr>
        <w:t xml:space="preserve">3</w:t>
      </w:r>
      <w:r>
        <w:rPr>
          <w:rFonts w:ascii="SimSun" w:hAnsi="SimSun" w:eastAsia="SimSun" w:cs="SimSun"/>
          <w:color w:val="000000"/>
          <w:sz w:val="21"/>
        </w:rPr>
        <w:t xml:space="preserve">分；有涉及但不全面的得</w:t>
      </w:r>
      <w:r>
        <w:rPr>
          <w:rFonts w:ascii="Calibri" w:hAnsi="Calibri" w:eastAsia="Calibri" w:cs="Calibri"/>
          <w:color w:val="000000"/>
          <w:sz w:val="21"/>
        </w:rPr>
        <w:t xml:space="preserve">1</w:t>
      </w:r>
      <w:r>
        <w:rPr>
          <w:rFonts w:ascii="SimSun" w:hAnsi="SimSun" w:eastAsia="SimSun" w:cs="SimSun"/>
          <w:color w:val="000000"/>
          <w:sz w:val="21"/>
        </w:rPr>
        <w:t xml:space="preserve">分；其他不得分。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、季节性施工：季节性施工、已有设备、管线的加固、保护等特殊情况下的施工措施科学、合理、操作性强、高效（</w:t>
      </w:r>
      <w:r>
        <w:rPr>
          <w:rFonts w:ascii="Calibri" w:hAnsi="Calibri" w:eastAsia="Calibri" w:cs="Calibri"/>
          <w:color w:val="000000"/>
          <w:sz w:val="21"/>
        </w:rPr>
        <w:t xml:space="preserve">10</w:t>
      </w:r>
      <w:r>
        <w:rPr>
          <w:rFonts w:ascii="SimSun" w:hAnsi="SimSun" w:eastAsia="SimSun" w:cs="SimSun"/>
          <w:color w:val="000000"/>
          <w:sz w:val="21"/>
        </w:rPr>
        <w:t xml:space="preserve">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季节性施科学合理、规范全面、高效便捷、实施简单、针对性强的得</w:t>
      </w:r>
      <w:r>
        <w:rPr>
          <w:rFonts w:ascii="Calibri" w:hAnsi="Calibri" w:eastAsia="Calibri" w:cs="Calibri"/>
          <w:color w:val="000000"/>
          <w:sz w:val="21"/>
        </w:rPr>
        <w:t xml:space="preserve">10</w:t>
      </w:r>
      <w:r>
        <w:rPr>
          <w:rFonts w:ascii="SimSun" w:hAnsi="SimSun" w:eastAsia="SimSun" w:cs="SimSun"/>
          <w:color w:val="000000"/>
          <w:sz w:val="21"/>
        </w:rPr>
        <w:t xml:space="preserve">分；方案科学合理、规范全面、高效便捷的得</w:t>
      </w:r>
      <w:r>
        <w:rPr>
          <w:rFonts w:ascii="Calibri" w:hAnsi="Calibri" w:eastAsia="Calibri" w:cs="Calibri"/>
          <w:color w:val="000000"/>
          <w:sz w:val="21"/>
        </w:rPr>
        <w:t xml:space="preserve">6</w:t>
      </w:r>
      <w:r>
        <w:rPr>
          <w:rFonts w:ascii="SimSun" w:hAnsi="SimSun" w:eastAsia="SimSun" w:cs="SimSun"/>
          <w:color w:val="000000"/>
          <w:sz w:val="21"/>
        </w:rPr>
        <w:t xml:space="preserve">分；方案科学合理的得</w:t>
      </w:r>
      <w:r>
        <w:rPr>
          <w:rFonts w:ascii="Calibri" w:hAnsi="Calibri" w:eastAsia="Calibri" w:cs="Calibri"/>
          <w:color w:val="000000"/>
          <w:sz w:val="21"/>
        </w:rPr>
        <w:t xml:space="preserve">3</w:t>
      </w:r>
      <w:r>
        <w:rPr>
          <w:rFonts w:ascii="SimSun" w:hAnsi="SimSun" w:eastAsia="SimSun" w:cs="SimSun"/>
          <w:color w:val="000000"/>
          <w:sz w:val="21"/>
        </w:rPr>
        <w:t xml:space="preserve">分；有涉及但不全面的得</w:t>
      </w:r>
      <w:r>
        <w:rPr>
          <w:rFonts w:ascii="Calibri" w:hAnsi="Calibri" w:eastAsia="Calibri" w:cs="Calibri"/>
          <w:color w:val="000000"/>
          <w:sz w:val="21"/>
        </w:rPr>
        <w:t xml:space="preserve">1</w:t>
      </w:r>
      <w:r>
        <w:rPr>
          <w:rFonts w:ascii="SimSun" w:hAnsi="SimSun" w:eastAsia="SimSun" w:cs="SimSun"/>
          <w:color w:val="000000"/>
          <w:sz w:val="21"/>
        </w:rPr>
        <w:t xml:space="preserve">分；其他不得分。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、内部管理方案：企业内部各项制度（接管移交管理、安全生产管理、工具管理、员工管理、档案管理、财务管理、备件管理、考核奖惩管理等制度等）概述（</w:t>
      </w:r>
      <w:r>
        <w:rPr>
          <w:rFonts w:ascii="Calibri" w:hAnsi="Calibri" w:eastAsia="Calibri" w:cs="Calibri"/>
          <w:color w:val="000000"/>
          <w:sz w:val="21"/>
        </w:rPr>
        <w:t xml:space="preserve">7</w:t>
      </w:r>
      <w:r>
        <w:rPr>
          <w:rFonts w:ascii="SimSun" w:hAnsi="SimSun" w:eastAsia="SimSun" w:cs="SimSun"/>
          <w:color w:val="000000"/>
          <w:sz w:val="21"/>
        </w:rPr>
        <w:t xml:space="preserve">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内部管理方案考虑周全且内容全面得</w:t>
      </w:r>
      <w:r>
        <w:rPr>
          <w:rFonts w:ascii="Calibri" w:hAnsi="Calibri" w:eastAsia="Calibri" w:cs="Calibri"/>
          <w:color w:val="000000"/>
          <w:sz w:val="21"/>
        </w:rPr>
        <w:t xml:space="preserve">7</w:t>
      </w:r>
      <w:r>
        <w:rPr>
          <w:rFonts w:ascii="SimSun" w:hAnsi="SimSun" w:eastAsia="SimSun" w:cs="SimSun"/>
          <w:color w:val="000000"/>
          <w:sz w:val="21"/>
        </w:rPr>
        <w:t xml:space="preserve">分；概述较为详细，方案考虑比较细致，能满足实施需要的得</w:t>
      </w:r>
      <w:r>
        <w:rPr>
          <w:rFonts w:ascii="Calibri" w:hAnsi="Calibri" w:eastAsia="Calibri" w:cs="Calibri"/>
          <w:color w:val="000000"/>
          <w:sz w:val="21"/>
        </w:rPr>
        <w:t xml:space="preserve">5</w:t>
      </w:r>
      <w:r>
        <w:rPr>
          <w:rFonts w:ascii="SimSun" w:hAnsi="SimSun" w:eastAsia="SimSun" w:cs="SimSun"/>
          <w:color w:val="000000"/>
          <w:sz w:val="21"/>
        </w:rPr>
        <w:t xml:space="preserve">分；概述简单，基本能满足项目实施需要的得</w:t>
      </w:r>
      <w:r>
        <w:rPr>
          <w:rFonts w:ascii="Calibri" w:hAnsi="Calibri" w:eastAsia="Calibri" w:cs="Calibri"/>
          <w:color w:val="000000"/>
          <w:sz w:val="21"/>
        </w:rPr>
        <w:t xml:space="preserve">3</w:t>
      </w:r>
      <w:r>
        <w:rPr>
          <w:rFonts w:ascii="SimSun" w:hAnsi="SimSun" w:eastAsia="SimSun" w:cs="SimSun"/>
          <w:color w:val="000000"/>
          <w:sz w:val="21"/>
        </w:rPr>
        <w:t xml:space="preserve">分；其他不得分。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、应急救援预案：施工区域内可能存在的危险应急响应预案科学合理、规范、高效（</w:t>
      </w:r>
      <w:r>
        <w:rPr>
          <w:rFonts w:ascii="Calibri" w:hAnsi="Calibri" w:eastAsia="Calibri" w:cs="Calibri"/>
          <w:color w:val="000000"/>
          <w:sz w:val="21"/>
        </w:rPr>
        <w:t xml:space="preserve">6</w:t>
      </w:r>
      <w:r>
        <w:rPr>
          <w:rFonts w:ascii="SimSun" w:hAnsi="SimSun" w:eastAsia="SimSun" w:cs="SimSun"/>
          <w:color w:val="000000"/>
          <w:sz w:val="21"/>
        </w:rPr>
        <w:t xml:space="preserve">分）</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应急救援预案可操作性强，内容描述详细的得</w:t>
      </w:r>
      <w:r>
        <w:rPr>
          <w:rFonts w:ascii="Calibri" w:hAnsi="Calibri" w:eastAsia="Calibri" w:cs="Calibri"/>
          <w:color w:val="000000"/>
          <w:sz w:val="21"/>
        </w:rPr>
        <w:t xml:space="preserve">6</w:t>
      </w:r>
      <w:r>
        <w:rPr>
          <w:rFonts w:ascii="SimSun" w:hAnsi="SimSun" w:eastAsia="SimSun" w:cs="SimSun"/>
          <w:color w:val="000000"/>
          <w:sz w:val="21"/>
        </w:rPr>
        <w:t xml:space="preserve">分；可操作性尚可，内容描述较简单的得</w:t>
      </w:r>
      <w:r>
        <w:rPr>
          <w:rFonts w:ascii="Calibri" w:hAnsi="Calibri" w:eastAsia="Calibri" w:cs="Calibri"/>
          <w:color w:val="000000"/>
          <w:sz w:val="21"/>
        </w:rPr>
        <w:t xml:space="preserve">4</w:t>
      </w:r>
      <w:r>
        <w:rPr>
          <w:rFonts w:ascii="SimSun" w:hAnsi="SimSun" w:eastAsia="SimSun" w:cs="SimSun"/>
          <w:color w:val="000000"/>
          <w:sz w:val="21"/>
        </w:rPr>
        <w:t xml:space="preserve">分；可操作性差，内容描述特少的得</w:t>
      </w:r>
      <w:r>
        <w:rPr>
          <w:rFonts w:ascii="Calibri" w:hAnsi="Calibri" w:eastAsia="Calibri" w:cs="Calibri"/>
          <w:color w:val="000000"/>
          <w:sz w:val="21"/>
        </w:rPr>
        <w:t xml:space="preserve">2</w:t>
      </w:r>
      <w:r>
        <w:rPr>
          <w:rFonts w:ascii="SimSun" w:hAnsi="SimSun" w:eastAsia="SimSun" w:cs="SimSun"/>
          <w:color w:val="000000"/>
          <w:sz w:val="21"/>
        </w:rPr>
        <w:t xml:space="preserve">分；其他不得分。</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（三）项目人员服务能力(12分)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拟投入本项目的项目负责人（项目经理），具有高级及以上职称的得4分，具有中级职称的得2分，此项最高分4分。(响应文件中需提供该人员职称资格证书扫描件、最近一期缴纳的社保证明文件扫描件，不提供或提供不全不得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拟投入本项目的项目组成员（项目经理除外）具有中级及以上职称的，每提供一人得2分 ，具有助理工程师职称的，每提供一人得1分，最高得8分。(响应文件中需提供该人员职称资格证书扫描件、最近一期缴纳的社保证明文件扫描件，不提供或提供不全不得分）</w:t>
      </w:r>
      <w:r>
        <w:rPr>
          <w:rFonts w:ascii="SimSun" w:hAnsi="SimSun" w:eastAsia="SimSun" w:cs="SimSu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（四）投标人综合实力（15分）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1、响应单位自2022年11月01日至今（以竣工验收时间为准）承担过类似项目，每提供一份得3分，最高9分。（响应文件中提供</w:t>
      </w:r>
      <w:r>
        <w:rPr>
          <w:rFonts w:ascii="SimSun" w:hAnsi="SimSun" w:eastAsia="SimSun" w:cs="SimSun"/>
          <w:color w:val="000000"/>
          <w:sz w:val="22"/>
        </w:rPr>
        <w:t xml:space="preserve">中标/成交通知书扫描件、施工合同扫描件,竣工验收证明书扫描件，时间以竣工验收证明书竣工验收日期为准，</w:t>
      </w:r>
      <w:r>
        <w:rPr>
          <w:rFonts w:ascii="SimSun" w:hAnsi="SimSun" w:eastAsia="SimSun" w:cs="SimSun"/>
          <w:color w:val="000000"/>
          <w:sz w:val="21"/>
        </w:rPr>
        <w:t xml:space="preserve">未提供或提供不全的项目不得分）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单位具有有效期内的质量管理体系认证、环境管理体系认证、职业健康安全管理体系认证，有一个得2分，最高6分。（响应文件中提供证书原件扫描件及该证书在中国国家认证认可监督管理委员会网站http://www.cnca.gov.cn/上查询的页面截图，否则不得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1、报价超过最高限价的将不进入综合评审程序，也不得标。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2、针对评分标准中评分的每一条，响应供应商均应提供相关对应资料，并作出相应说明，供评委评判，否则视为不具备相关项得分的条件。</w:t>
      </w:r>
      <w:r/>
    </w:p>
    <w:p>
      <w:pPr>
        <w:ind w:left="0" w:right="48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（全文完）</w:t>
      </w:r>
      <w:r/>
    </w:p>
    <w:p>
      <w:pPr>
        <w:ind w:left="0" w:right="480" w:firstLine="0"/>
        <w:jc w:val="right"/>
        <w:spacing w:before="240" w:after="240"/>
        <w:pBdr>
          <w:top w:val="none" w:color="000000" w:sz="4" w:space="0"/>
          <w:left w:val="none" w:color="000000" w:sz="4" w:space="0"/>
          <w:bottom w:val="none" w:color="000000" w:sz="4" w:space="0"/>
          <w:right w:val="none" w:color="000000" w:sz="4" w:space="0"/>
        </w:pBdr>
      </w:pPr>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Hei">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条"/>
      <w:lvlJc w:val="left"/>
      <w:pPr>
        <w:ind w:left="900" w:hanging="420"/>
      </w:pPr>
      <w:rPr>
        <w:color w:val="000000"/>
      </w:rPr>
    </w:lvl>
    <w:lvl w:ilvl="1">
      <w:start w:val="1"/>
      <w:numFmt w:val="decimal"/>
      <w:isLgl w:val="false"/>
      <w:suff w:val="tab"/>
      <w:lvlText w:val="%1．"/>
      <w:lvlJc w:val="left"/>
      <w:pPr>
        <w:ind w:left="1260" w:hanging="360"/>
      </w:pPr>
    </w:lvl>
    <w:lvl w:ilvl="2">
      <w:start w:val="1"/>
      <w:numFmt w:val="decimal"/>
      <w:isLgl w:val="false"/>
      <w:suff w:val="tab"/>
      <w:lvlText w:val="%1."/>
      <w:lvlJc w:val="right"/>
      <w:pPr>
        <w:ind w:left="1740" w:hanging="420"/>
      </w:pPr>
    </w:lvl>
    <w:lvl w:ilvl="3">
      <w:start w:val="1"/>
      <w:numFmt w:val="decimal"/>
      <w:isLgl w:val="false"/>
      <w:suff w:val="tab"/>
      <w:lvlText w:val="%1."/>
      <w:lvlJc w:val="left"/>
      <w:pPr>
        <w:ind w:left="2160" w:hanging="420"/>
      </w:pPr>
    </w:lvl>
    <w:lvl w:ilvl="4">
      <w:start w:val="1"/>
      <w:numFmt w:val="lowerLetter"/>
      <w:isLgl w:val="false"/>
      <w:suff w:val="tab"/>
      <w:lvlText w:val="%1)"/>
      <w:lvlJc w:val="left"/>
      <w:pPr>
        <w:ind w:left="2580" w:hanging="420"/>
      </w:pPr>
    </w:lvl>
    <w:lvl w:ilvl="5">
      <w:start w:val="1"/>
      <w:numFmt w:val="decimal"/>
      <w:isLgl w:val="false"/>
      <w:suff w:val="tab"/>
      <w:lvlText w:val="%1."/>
      <w:lvlJc w:val="right"/>
      <w:pPr>
        <w:ind w:left="3000" w:hanging="420"/>
      </w:pPr>
    </w:lvl>
    <w:lvl w:ilvl="6">
      <w:start w:val="1"/>
      <w:numFmt w:val="decimal"/>
      <w:isLgl w:val="false"/>
      <w:suff w:val="tab"/>
      <w:lvlText w:val="%1."/>
      <w:lvlJc w:val="left"/>
      <w:pPr>
        <w:ind w:left="3420" w:hanging="420"/>
      </w:pPr>
    </w:lvl>
    <w:lvl w:ilvl="7">
      <w:start w:val="1"/>
      <w:numFmt w:val="lowerLetter"/>
      <w:isLgl w:val="false"/>
      <w:suff w:val="tab"/>
      <w:lvlText w:val="%1)"/>
      <w:lvlJc w:val="left"/>
      <w:pPr>
        <w:ind w:left="3840" w:hanging="420"/>
      </w:pPr>
    </w:lvl>
    <w:lvl w:ilvl="8">
      <w:start w:val="1"/>
      <w:numFmt w:val="decimal"/>
      <w:isLgl w:val="false"/>
      <w:suff w:val="tab"/>
      <w:lvlText w:val="%1."/>
      <w:lvlJc w:val="right"/>
      <w:pPr>
        <w:ind w:left="4260" w:hanging="420"/>
      </w:p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条"/>
      <w:lvlJc w:val="left"/>
      <w:pPr>
        <w:ind w:left="900" w:hanging="420"/>
      </w:pPr>
      <w:rPr>
        <w:color w:val="000000"/>
      </w:rPr>
    </w:lvl>
    <w:lvl w:ilvl="1">
      <w:start w:val="1"/>
      <w:numFmt w:val="decimal"/>
      <w:isLgl w:val="false"/>
      <w:suff w:val="tab"/>
      <w:lvlText w:val="%1．"/>
      <w:lvlJc w:val="left"/>
      <w:pPr>
        <w:ind w:left="1260" w:hanging="360"/>
      </w:pPr>
    </w:lvl>
    <w:lvl w:ilvl="2">
      <w:start w:val="1"/>
      <w:numFmt w:val="decimal"/>
      <w:isLgl w:val="false"/>
      <w:suff w:val="tab"/>
      <w:lvlText w:val="%1."/>
      <w:lvlJc w:val="right"/>
      <w:pPr>
        <w:ind w:left="1740" w:hanging="420"/>
      </w:pPr>
    </w:lvl>
    <w:lvl w:ilvl="3">
      <w:start w:val="1"/>
      <w:numFmt w:val="decimal"/>
      <w:isLgl w:val="false"/>
      <w:suff w:val="tab"/>
      <w:lvlText w:val="%1."/>
      <w:lvlJc w:val="left"/>
      <w:pPr>
        <w:ind w:left="2160" w:hanging="420"/>
      </w:pPr>
    </w:lvl>
    <w:lvl w:ilvl="4">
      <w:start w:val="1"/>
      <w:numFmt w:val="lowerLetter"/>
      <w:isLgl w:val="false"/>
      <w:suff w:val="tab"/>
      <w:lvlText w:val="%1)"/>
      <w:lvlJc w:val="left"/>
      <w:pPr>
        <w:ind w:left="2580" w:hanging="420"/>
      </w:pPr>
    </w:lvl>
    <w:lvl w:ilvl="5">
      <w:start w:val="1"/>
      <w:numFmt w:val="decimal"/>
      <w:isLgl w:val="false"/>
      <w:suff w:val="tab"/>
      <w:lvlText w:val="%1."/>
      <w:lvlJc w:val="right"/>
      <w:pPr>
        <w:ind w:left="3000" w:hanging="420"/>
      </w:pPr>
    </w:lvl>
    <w:lvl w:ilvl="6">
      <w:start w:val="1"/>
      <w:numFmt w:val="decimal"/>
      <w:isLgl w:val="false"/>
      <w:suff w:val="tab"/>
      <w:lvlText w:val="%1."/>
      <w:lvlJc w:val="left"/>
      <w:pPr>
        <w:ind w:left="3420" w:hanging="420"/>
      </w:pPr>
    </w:lvl>
    <w:lvl w:ilvl="7">
      <w:start w:val="1"/>
      <w:numFmt w:val="lowerLetter"/>
      <w:isLgl w:val="false"/>
      <w:suff w:val="tab"/>
      <w:lvlText w:val="%1)"/>
      <w:lvlJc w:val="left"/>
      <w:pPr>
        <w:ind w:left="3840" w:hanging="420"/>
      </w:pPr>
    </w:lvl>
    <w:lvl w:ilvl="8">
      <w:start w:val="1"/>
      <w:numFmt w:val="decimal"/>
      <w:isLgl w:val="false"/>
      <w:suff w:val="tab"/>
      <w:lvlText w:val="%1."/>
      <w:lvlJc w:val="right"/>
      <w:pPr>
        <w:ind w:left="426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沈燕</cp:lastModifiedBy>
  <cp:revision>7</cp:revision>
  <dcterms:created xsi:type="dcterms:W3CDTF">2025-11-17T10:15:23Z</dcterms:created>
  <dcterms:modified xsi:type="dcterms:W3CDTF">2025-11-18T08:10:31Z</dcterms:modified>
</cp:coreProperties>
</file>